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447" w:rsidRDefault="00131447" w:rsidP="00131447">
      <w:pPr>
        <w:autoSpaceDE w:val="0"/>
        <w:autoSpaceDN w:val="0"/>
        <w:adjustRightInd w:val="0"/>
        <w:spacing w:after="0" w:line="240" w:lineRule="auto"/>
        <w:rPr>
          <w:rFonts w:ascii="Tahoma" w:hAnsi="Tahoma" w:cs="Tahoma"/>
          <w:sz w:val="20"/>
          <w:szCs w:val="20"/>
        </w:rPr>
      </w:pPr>
      <w:r>
        <w:rPr>
          <w:rFonts w:ascii="Tahoma" w:hAnsi="Tahoma" w:cs="Tahoma"/>
          <w:sz w:val="20"/>
          <w:szCs w:val="20"/>
        </w:rPr>
        <w:t xml:space="preserve">Документ предоставлен </w:t>
      </w:r>
      <w:hyperlink r:id="rId5" w:history="1">
        <w:proofErr w:type="spellStart"/>
        <w:r>
          <w:rPr>
            <w:rFonts w:ascii="Tahoma" w:hAnsi="Tahoma" w:cs="Tahoma"/>
            <w:color w:val="0000FF"/>
            <w:sz w:val="20"/>
            <w:szCs w:val="20"/>
          </w:rPr>
          <w:t>КонсультантПлюс</w:t>
        </w:r>
        <w:proofErr w:type="spellEnd"/>
      </w:hyperlink>
      <w:r>
        <w:rPr>
          <w:rFonts w:ascii="Tahoma" w:hAnsi="Tahoma" w:cs="Tahoma"/>
          <w:sz w:val="20"/>
          <w:szCs w:val="20"/>
        </w:rPr>
        <w:br/>
      </w:r>
    </w:p>
    <w:p w:rsidR="00131447" w:rsidRDefault="00131447" w:rsidP="00131447">
      <w:pPr>
        <w:autoSpaceDE w:val="0"/>
        <w:autoSpaceDN w:val="0"/>
        <w:adjustRightInd w:val="0"/>
        <w:spacing w:after="0" w:line="240" w:lineRule="auto"/>
        <w:jc w:val="both"/>
        <w:outlineLvl w:val="0"/>
        <w:rPr>
          <w:rFonts w:ascii="Times New Roman" w:hAnsi="Times New Roman" w:cs="Times New Roman"/>
          <w:sz w:val="24"/>
          <w:szCs w:val="24"/>
        </w:rPr>
      </w:pPr>
    </w:p>
    <w:p w:rsidR="00131447" w:rsidRDefault="00131447" w:rsidP="00131447">
      <w:pPr>
        <w:autoSpaceDE w:val="0"/>
        <w:autoSpaceDN w:val="0"/>
        <w:adjustRightInd w:val="0"/>
        <w:spacing w:after="0" w:line="240" w:lineRule="auto"/>
        <w:outlineLvl w:val="0"/>
        <w:rPr>
          <w:rFonts w:ascii="Times New Roman" w:hAnsi="Times New Roman" w:cs="Times New Roman"/>
          <w:sz w:val="24"/>
          <w:szCs w:val="24"/>
        </w:rPr>
      </w:pPr>
      <w:r>
        <w:rPr>
          <w:rFonts w:ascii="Times New Roman" w:hAnsi="Times New Roman" w:cs="Times New Roman"/>
          <w:sz w:val="24"/>
          <w:szCs w:val="24"/>
        </w:rPr>
        <w:t>Зарегистрировано в Минюсте России 7 мая 2020 г. N 58280</w:t>
      </w:r>
    </w:p>
    <w:p w:rsidR="00131447" w:rsidRDefault="00131447" w:rsidP="00131447">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МИНИСТЕРСТВО ФИНАНСОВ РОССИЙСКОЙ ФЕДЕРАЦИИ</w:t>
      </w:r>
    </w:p>
    <w:p w:rsidR="00131447" w:rsidRDefault="00131447" w:rsidP="00131447">
      <w:pPr>
        <w:autoSpaceDE w:val="0"/>
        <w:autoSpaceDN w:val="0"/>
        <w:adjustRightInd w:val="0"/>
        <w:spacing w:after="0" w:line="240" w:lineRule="auto"/>
        <w:jc w:val="center"/>
        <w:rPr>
          <w:rFonts w:ascii="Times New Roman" w:hAnsi="Times New Roman" w:cs="Times New Roman"/>
          <w:b/>
          <w:bCs/>
          <w:sz w:val="24"/>
          <w:szCs w:val="24"/>
        </w:rPr>
      </w:pPr>
    </w:p>
    <w:p w:rsidR="00131447" w:rsidRDefault="00131447" w:rsidP="00131447">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ФЕДЕРАЛЬНОЕ КАЗНАЧЕЙСТВО</w:t>
      </w:r>
    </w:p>
    <w:p w:rsidR="00131447" w:rsidRDefault="00131447" w:rsidP="00131447">
      <w:pPr>
        <w:autoSpaceDE w:val="0"/>
        <w:autoSpaceDN w:val="0"/>
        <w:adjustRightInd w:val="0"/>
        <w:spacing w:after="0" w:line="240" w:lineRule="auto"/>
        <w:jc w:val="center"/>
        <w:rPr>
          <w:rFonts w:ascii="Times New Roman" w:hAnsi="Times New Roman" w:cs="Times New Roman"/>
          <w:b/>
          <w:bCs/>
          <w:sz w:val="24"/>
          <w:szCs w:val="24"/>
        </w:rPr>
      </w:pPr>
    </w:p>
    <w:p w:rsidR="00131447" w:rsidRDefault="00131447" w:rsidP="00131447">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ПРИКАЗ</w:t>
      </w:r>
    </w:p>
    <w:p w:rsidR="00131447" w:rsidRDefault="00131447" w:rsidP="00131447">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от 1 апреля 2020 г. N 15н</w:t>
      </w:r>
    </w:p>
    <w:p w:rsidR="00131447" w:rsidRDefault="00131447" w:rsidP="00131447">
      <w:pPr>
        <w:autoSpaceDE w:val="0"/>
        <w:autoSpaceDN w:val="0"/>
        <w:adjustRightInd w:val="0"/>
        <w:spacing w:after="0" w:line="240" w:lineRule="auto"/>
        <w:jc w:val="center"/>
        <w:rPr>
          <w:rFonts w:ascii="Times New Roman" w:hAnsi="Times New Roman" w:cs="Times New Roman"/>
          <w:b/>
          <w:bCs/>
          <w:sz w:val="24"/>
          <w:szCs w:val="24"/>
        </w:rPr>
      </w:pPr>
    </w:p>
    <w:p w:rsidR="00131447" w:rsidRDefault="00131447" w:rsidP="00131447">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 ПОРЯДКЕ ОТКРЫТИЯ КАЗНАЧЕЙСКИХ СЧЕТОВ</w:t>
      </w: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целях реализации </w:t>
      </w:r>
      <w:hyperlink r:id="rId6" w:history="1">
        <w:r>
          <w:rPr>
            <w:rFonts w:ascii="Times New Roman" w:hAnsi="Times New Roman" w:cs="Times New Roman"/>
            <w:color w:val="0000FF"/>
            <w:sz w:val="24"/>
            <w:szCs w:val="24"/>
          </w:rPr>
          <w:t>пункта 3 статьи 242.14</w:t>
        </w:r>
      </w:hyperlink>
      <w:r>
        <w:rPr>
          <w:rFonts w:ascii="Times New Roman" w:hAnsi="Times New Roman" w:cs="Times New Roman"/>
          <w:sz w:val="24"/>
          <w:szCs w:val="24"/>
        </w:rPr>
        <w:t xml:space="preserve"> Бюджетного кодекса Российской Федерации (Собрание законодательства Российской Федерации, 1998, N 31, ст. 3823; 2019, N 52, ст. 7797) приказываю:</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Утвердить прилагаемый </w:t>
      </w:r>
      <w:hyperlink w:anchor="Par28" w:history="1">
        <w:r>
          <w:rPr>
            <w:rFonts w:ascii="Times New Roman" w:hAnsi="Times New Roman" w:cs="Times New Roman"/>
            <w:color w:val="0000FF"/>
            <w:sz w:val="24"/>
            <w:szCs w:val="24"/>
          </w:rPr>
          <w:t>Порядок</w:t>
        </w:r>
      </w:hyperlink>
      <w:r>
        <w:rPr>
          <w:rFonts w:ascii="Times New Roman" w:hAnsi="Times New Roman" w:cs="Times New Roman"/>
          <w:sz w:val="24"/>
          <w:szCs w:val="24"/>
        </w:rPr>
        <w:t xml:space="preserve"> открытия казначейских счетов.</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Настоящий приказ вступает в силу с 1 января 2021 года.</w:t>
      </w: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Руководитель</w:t>
      </w:r>
    </w:p>
    <w:p w:rsidR="00131447" w:rsidRDefault="00131447" w:rsidP="001314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Р.Е.АРТЮХИН</w:t>
      </w: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right"/>
        <w:outlineLvl w:val="0"/>
        <w:rPr>
          <w:rFonts w:ascii="Times New Roman" w:hAnsi="Times New Roman" w:cs="Times New Roman"/>
          <w:sz w:val="24"/>
          <w:szCs w:val="24"/>
        </w:rPr>
      </w:pPr>
      <w:r>
        <w:rPr>
          <w:rFonts w:ascii="Times New Roman" w:hAnsi="Times New Roman" w:cs="Times New Roman"/>
          <w:sz w:val="24"/>
          <w:szCs w:val="24"/>
        </w:rPr>
        <w:t>Утвержден</w:t>
      </w:r>
    </w:p>
    <w:p w:rsidR="00131447" w:rsidRDefault="00131447" w:rsidP="001314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приказом Федерального казначейства</w:t>
      </w:r>
    </w:p>
    <w:p w:rsidR="00131447" w:rsidRDefault="00131447" w:rsidP="001314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от 1 апреля 2020 г. N 15н</w:t>
      </w: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center"/>
        <w:rPr>
          <w:rFonts w:ascii="Times New Roman" w:hAnsi="Times New Roman" w:cs="Times New Roman"/>
          <w:b/>
          <w:bCs/>
          <w:sz w:val="24"/>
          <w:szCs w:val="24"/>
        </w:rPr>
      </w:pPr>
      <w:bookmarkStart w:id="0" w:name="Par28"/>
      <w:bookmarkEnd w:id="0"/>
      <w:r>
        <w:rPr>
          <w:rFonts w:ascii="Times New Roman" w:hAnsi="Times New Roman" w:cs="Times New Roman"/>
          <w:b/>
          <w:bCs/>
          <w:sz w:val="24"/>
          <w:szCs w:val="24"/>
        </w:rPr>
        <w:t>ПОРЯДОК ОТКРЫТИЯ КАЗНАЧЕЙСКИХ СЧЕТОВ</w:t>
      </w: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I. Общие положения</w:t>
      </w: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Настоящий Порядок открытия казначейских счетов (далее - Порядок) разработан на основании </w:t>
      </w:r>
      <w:hyperlink r:id="rId7" w:history="1">
        <w:r>
          <w:rPr>
            <w:rFonts w:ascii="Times New Roman" w:hAnsi="Times New Roman" w:cs="Times New Roman"/>
            <w:color w:val="0000FF"/>
            <w:sz w:val="24"/>
            <w:szCs w:val="24"/>
          </w:rPr>
          <w:t>пункта 3 статьи 242.14</w:t>
        </w:r>
      </w:hyperlink>
      <w:r>
        <w:rPr>
          <w:rFonts w:ascii="Times New Roman" w:hAnsi="Times New Roman" w:cs="Times New Roman"/>
          <w:sz w:val="24"/>
          <w:szCs w:val="24"/>
        </w:rPr>
        <w:t xml:space="preserve"> Бюджетного кодекса Российской Федерации (Собрание законодательства Российской Федерации, 1998, N 31, ст. 3823; 2019, N 52, ст. 7797) и устанавливает порядок открытия казначейских счетов в валюте Российской Федерации и в иностранных валютах.</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bookmarkStart w:id="1" w:name="Par33"/>
      <w:bookmarkEnd w:id="1"/>
      <w:r>
        <w:rPr>
          <w:rFonts w:ascii="Times New Roman" w:hAnsi="Times New Roman" w:cs="Times New Roman"/>
          <w:sz w:val="24"/>
          <w:szCs w:val="24"/>
        </w:rPr>
        <w:t>2. В территориальных органах Федерального казначейства открываются следующие виды казначейских счетов:</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а) единый счет бюджета;</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 казначейский счет для осуществления и отражения операций по учету и распределению поступлений;</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в) казначейский счет для осуществления и отражения операций с денежными средствами, поступающими во временное распоряжение;</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г) казначейский счет для осуществления и отражения операций с денежными средствами бюджетных и автономных учреждений;</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 казначейский счет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е) казначейский счет для осуществления и отражения операций с денежными средствами Фонда национального благосостояния;</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ж) иные казначейские счета для осуществления и отражения операций в случаях, установленных Бюджетным </w:t>
      </w:r>
      <w:hyperlink r:id="rId8"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а также иными законодательными актами Российской Федерации, нормативными правовыми актами Правительства Российской Федерации, Министерства финансов Российской Федерации и Федерального казначейства.</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Казначейские счета открываются в целях казначейского обслуживания:</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а) исполнения федерального бюджета, бюджетов субъектов Российской Федерации, местных бюджетов, бюджетов государственных внебюджетных фондов;</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 поступлений в бюджеты бюджетной системы Российской Федерации и их распределения между бюджетами бюджетной системы Российской Федерации;</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операций со средствами, поступающими во временное распоряжение получателей средств федерального бюджета, бюджета субъекта Российской Федерации (местного бюджета), бюджета государственного внебюджетного фонда;</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г) операций со средствами бюджетных и автономных учреждений;</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 операций со средствами юридических лиц, не являющихся участниками бюджетного процесса, бюджетными и автономными учреждениями;</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е) операций со средствами Фонда национального благосостояния;</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ж) операций в случаях, установленных Бюджетным </w:t>
      </w:r>
      <w:hyperlink r:id="rId9"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а также иными законодательными актами Российской Федерации, нормативными правовыми актами Правительства Российской Федерации, Министерства финансов Российской Федерации и Федерального казначейства.</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Единый счет бюджета открывается:</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территориальному органу Федерального казначейства - для осуществления и отражения операций по исполнению федерального бюджета;</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финансовому органу субъекта Российской Федерации (муниципального образования) - для осуществления и отражения операций по исполнению бюджета субъекта Российской Федерации (местного бюджета);</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органу управления государственным внебюджетным фондом - для осуществления и отражения операций по исполнению бюджета государственного внебюджетного фонда.</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5. Казначейский счет для осуществления и отражения операций по учету и распределению поступлений открывается территориальному органу Федерального казначейства.</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Казначейский счет для осуществления и отражения операций с денежными средствами, поступающими во временное распоряжение получателей средств федерального бюджета, бюджета субъекта Российской Федерации (местного бюджета), бюджета государственного внебюджетного фонда открывается территориальному органу Федерального казначейства, финансовому органу субъекта Российской Федерации (муниципального образования), органу управления государственным внебюджетным фондом.</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Казначейский счет для осуществления и отражения операций с денежными средствами бюджетных и автономных учреждений открывается:</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территориальному органу Федерального казначейства, органу управления государственным внебюджетным фондом - для осуществления и отражения операций с денежными средствами, поступающими федеральным бюджетным и автономным учреждениям;</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финансовому органу субъекта Российской Федерации (муниципального образования) - для осуществления и отражения операций с денежными средствами, поступающими бюджетным учреждениям субъектов Российской Федерации (муниципальным бюджетным учреждениям), автономным учреждениям субъектов Российской Федерации (муниципальным автономным учреждениям).</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 Казначейский счет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открывается:</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территориальному органу Федерального казначейства - для осуществления и отражения операций с денежными средствами, поступающими юридическим лицам, не являющимся участниками бюджетного процесса, бюджетными и автономными учреждениями, источником финансового обеспечения которых являются средства федерального бюджета;</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финансовому органу субъекта Российской Федерации (муниципального образования) - для осуществления и отражения операций с денежными средствами, поступающими юридическим лицам, не являющимся участниками бюджетного процесса, бюджетными и автономными учреждениями, источником финансового обеспечения которых являются средства бюджета субъекта Российской Федерации (местного бюджета).</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9. Казначейский счет для осуществления и отражения операций с денежными средствами Фонда национального благосостояния открывается территориальному органу Федерального казначейства.</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10. Казначейские счета в иностранных валютах открываются территориальным органам Федерального казначейства и органам управления государственными внебюджетными фондами.</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11. Допускается открытие территориальному органу Федерального казначейства, финансовому органу субъекта Российской Федерации (муниципального образования), органу управления государственным внебюджетным фондом нескольких казначейских счетов одного вида.</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 </w:t>
      </w:r>
      <w:proofErr w:type="gramStart"/>
      <w:r>
        <w:rPr>
          <w:rFonts w:ascii="Times New Roman" w:hAnsi="Times New Roman" w:cs="Times New Roman"/>
          <w:sz w:val="24"/>
          <w:szCs w:val="24"/>
        </w:rPr>
        <w:t xml:space="preserve">При открытии, ведении и закрытии казначейских счетов обмен документами с территориальным органом Федерального казначейства осуществляется в электронном виде с применением средств электронной подписи в соответствии с законодательством Российской Федерации на основании Договора (соглашения) об обмене электронными документами, </w:t>
      </w:r>
      <w:r>
        <w:rPr>
          <w:rFonts w:ascii="Times New Roman" w:hAnsi="Times New Roman" w:cs="Times New Roman"/>
          <w:sz w:val="24"/>
          <w:szCs w:val="24"/>
        </w:rPr>
        <w:lastRenderedPageBreak/>
        <w:t>заключенного между финансовым органом субъекта Российской Федерации (муниципального образования), органом управления государственным внебюджетным фондом и территориальным органом Федерального казначейства, и требованиями, установленными законодательством</w:t>
      </w:r>
      <w:proofErr w:type="gramEnd"/>
      <w:r>
        <w:rPr>
          <w:rFonts w:ascii="Times New Roman" w:hAnsi="Times New Roman" w:cs="Times New Roman"/>
          <w:sz w:val="24"/>
          <w:szCs w:val="24"/>
        </w:rPr>
        <w:t xml:space="preserve"> Российской Федерации.</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 отсутствии технической возможности информационного обмена в электронном виде, обмен информацией осуществляется с применением документооборота на бумажных носителях с одновременным представлением документов на машинном носителе.</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13. Документооборот по открытию, ведению и закрытию казначейских счетов, содержащий сведения, составляющие государственную тайну, осуществляется в соответствии с настоящим Порядком с соблюдением требований законодательства Российской Федерации о государственной тайне.</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14. При открытии казначейского счета ему присваивается уникальный номер, имеющий следующую структуру, состоящую из 20 разрядов:</w:t>
      </w: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80"/>
        <w:gridCol w:w="340"/>
        <w:gridCol w:w="340"/>
        <w:gridCol w:w="340"/>
        <w:gridCol w:w="340"/>
        <w:gridCol w:w="374"/>
        <w:gridCol w:w="370"/>
        <w:gridCol w:w="379"/>
        <w:gridCol w:w="461"/>
        <w:gridCol w:w="461"/>
        <w:gridCol w:w="466"/>
        <w:gridCol w:w="461"/>
        <w:gridCol w:w="466"/>
        <w:gridCol w:w="461"/>
        <w:gridCol w:w="456"/>
        <w:gridCol w:w="470"/>
        <w:gridCol w:w="566"/>
        <w:gridCol w:w="562"/>
        <w:gridCol w:w="523"/>
        <w:gridCol w:w="494"/>
      </w:tblGrid>
      <w:tr w:rsidR="00131447">
        <w:tc>
          <w:tcPr>
            <w:tcW w:w="680"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Признак казначейского счета</w:t>
            </w:r>
          </w:p>
        </w:tc>
        <w:tc>
          <w:tcPr>
            <w:tcW w:w="1360" w:type="dxa"/>
            <w:gridSpan w:val="4"/>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Код вида казначейского счета</w:t>
            </w:r>
          </w:p>
        </w:tc>
        <w:tc>
          <w:tcPr>
            <w:tcW w:w="1123" w:type="dxa"/>
            <w:gridSpan w:val="3"/>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Код валюты</w:t>
            </w:r>
          </w:p>
        </w:tc>
        <w:tc>
          <w:tcPr>
            <w:tcW w:w="3702" w:type="dxa"/>
            <w:gridSpan w:val="8"/>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Идентификатор публично-правового образования</w:t>
            </w:r>
          </w:p>
        </w:tc>
        <w:tc>
          <w:tcPr>
            <w:tcW w:w="1128" w:type="dxa"/>
            <w:gridSpan w:val="2"/>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Код территориального органа Федерального казначейства</w:t>
            </w:r>
          </w:p>
        </w:tc>
        <w:tc>
          <w:tcPr>
            <w:tcW w:w="1017" w:type="dxa"/>
            <w:gridSpan w:val="2"/>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Порядковый номер счета</w:t>
            </w:r>
          </w:p>
        </w:tc>
      </w:tr>
      <w:tr w:rsidR="00131447">
        <w:tc>
          <w:tcPr>
            <w:tcW w:w="680"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0"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40"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0"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40"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7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370"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37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461"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461"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46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461"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46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461"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45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470"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56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562"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523"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49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131447">
        <w:tc>
          <w:tcPr>
            <w:tcW w:w="680"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340"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340"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340"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340"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37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370"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37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461"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461"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46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461"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46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461"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45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470"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56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562"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523"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49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r>
    </w:tbl>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14.1. Признак казначейского счета принимает значение "0".</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14.2. Код вида казначейского счета в номере казначейского счета принимает следующие значения:</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3100 - средства поступлений, являющихся источниками </w:t>
      </w:r>
      <w:proofErr w:type="gramStart"/>
      <w:r>
        <w:rPr>
          <w:rFonts w:ascii="Times New Roman" w:hAnsi="Times New Roman" w:cs="Times New Roman"/>
          <w:sz w:val="24"/>
          <w:szCs w:val="24"/>
        </w:rPr>
        <w:t>формирования доходов бюджетов бюджетной системы Российской Федерации</w:t>
      </w:r>
      <w:proofErr w:type="gramEnd"/>
      <w:r>
        <w:rPr>
          <w:rFonts w:ascii="Times New Roman" w:hAnsi="Times New Roman" w:cs="Times New Roman"/>
          <w:sz w:val="24"/>
          <w:szCs w:val="24"/>
        </w:rPr>
        <w:t>;</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3211 - средства федерального бюджета;</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3212 - средства, поступающие во временное распоряжение получателей средств федерального бюджета;</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3214 - средства федеральных бюджетных и автономных учреждений;</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3215 - средства юридических лиц, не являющихся участниками бюджетного процесса, бюджетными и автономными учреждениями, источником финансового обеспечения которых являются средства федерального бюджета;</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3217 - средства Фонда национального благосостояния;</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3221 - средства бюджетов субъектов Российской Федерации;</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3222 - средства, поступающие во временное распоряжение </w:t>
      </w:r>
      <w:proofErr w:type="gramStart"/>
      <w:r>
        <w:rPr>
          <w:rFonts w:ascii="Times New Roman" w:hAnsi="Times New Roman" w:cs="Times New Roman"/>
          <w:sz w:val="24"/>
          <w:szCs w:val="24"/>
        </w:rPr>
        <w:t>получателей средств бюджетов субъектов Российской Федерации</w:t>
      </w:r>
      <w:proofErr w:type="gramEnd"/>
      <w:r>
        <w:rPr>
          <w:rFonts w:ascii="Times New Roman" w:hAnsi="Times New Roman" w:cs="Times New Roman"/>
          <w:sz w:val="24"/>
          <w:szCs w:val="24"/>
        </w:rPr>
        <w:t>;</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3224 - средства бюджетных и автономных учреждений субъектов Российской Федерации;</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3225 - средства юридических лиц, не являющихся участниками бюджетного процесса, бюджетными и автономными учреждениями, источником финансового обеспечения которых являются средства бюджетов субъектов Российской Федерации;</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3231 - средства местных бюджетов;</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3232 - средства, поступающие во временное распоряжение получателей средств местных бюджетов;</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3234 - средства муниципальных бюджетных и автономных учреждений;</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3235 - средства юридических лиц, не являющихся участниками бюджетного процесса, бюджетными и автономными учреждениями, источником финансового обеспечения которых являются средства местных бюджетов;</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3241 - средства бюджета Пенсионного фонда Российской Федерации;</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3242 - средства, поступающие во временное распоряжение </w:t>
      </w:r>
      <w:proofErr w:type="gramStart"/>
      <w:r>
        <w:rPr>
          <w:rFonts w:ascii="Times New Roman" w:hAnsi="Times New Roman" w:cs="Times New Roman"/>
          <w:sz w:val="24"/>
          <w:szCs w:val="24"/>
        </w:rPr>
        <w:t>получателей средств бюджета Пенсионного фонда Российской Федерации</w:t>
      </w:r>
      <w:proofErr w:type="gramEnd"/>
      <w:r>
        <w:rPr>
          <w:rFonts w:ascii="Times New Roman" w:hAnsi="Times New Roman" w:cs="Times New Roman"/>
          <w:sz w:val="24"/>
          <w:szCs w:val="24"/>
        </w:rPr>
        <w:t>;</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3251 - средства бюджета Фонда социального страхования Российской Федерации;</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3252 - средства, поступающие во временное распоряжение </w:t>
      </w:r>
      <w:proofErr w:type="gramStart"/>
      <w:r>
        <w:rPr>
          <w:rFonts w:ascii="Times New Roman" w:hAnsi="Times New Roman" w:cs="Times New Roman"/>
          <w:sz w:val="24"/>
          <w:szCs w:val="24"/>
        </w:rPr>
        <w:t>получателей средств бюджета Фонда социального страхования Российской Федерации</w:t>
      </w:r>
      <w:proofErr w:type="gramEnd"/>
      <w:r>
        <w:rPr>
          <w:rFonts w:ascii="Times New Roman" w:hAnsi="Times New Roman" w:cs="Times New Roman"/>
          <w:sz w:val="24"/>
          <w:szCs w:val="24"/>
        </w:rPr>
        <w:t>;</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3254 - средства бюджетных учреждений Фонда социального страхования Российской Федерации;</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3261 - средства бюджета Федерального фонда обязательного медицинского страхования;</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3262 - средства, поступающие во временное распоряжение </w:t>
      </w:r>
      <w:proofErr w:type="gramStart"/>
      <w:r>
        <w:rPr>
          <w:rFonts w:ascii="Times New Roman" w:hAnsi="Times New Roman" w:cs="Times New Roman"/>
          <w:sz w:val="24"/>
          <w:szCs w:val="24"/>
        </w:rPr>
        <w:t>получателей средств бюджета Федерального фонда обязательного медицинского страхования</w:t>
      </w:r>
      <w:proofErr w:type="gramEnd"/>
      <w:r>
        <w:rPr>
          <w:rFonts w:ascii="Times New Roman" w:hAnsi="Times New Roman" w:cs="Times New Roman"/>
          <w:sz w:val="24"/>
          <w:szCs w:val="24"/>
        </w:rPr>
        <w:t>;</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3271 - средства бюджетов территориальных фондов обязательного медицинского страхования;</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3272 - средства, поступающие во временное распоряжение </w:t>
      </w:r>
      <w:proofErr w:type="gramStart"/>
      <w:r>
        <w:rPr>
          <w:rFonts w:ascii="Times New Roman" w:hAnsi="Times New Roman" w:cs="Times New Roman"/>
          <w:sz w:val="24"/>
          <w:szCs w:val="24"/>
        </w:rPr>
        <w:t>получателей средств бюджетов территориальных фондов обязательного медицинского страхования</w:t>
      </w:r>
      <w:proofErr w:type="gramEnd"/>
      <w:r>
        <w:rPr>
          <w:rFonts w:ascii="Times New Roman" w:hAnsi="Times New Roman" w:cs="Times New Roman"/>
          <w:sz w:val="24"/>
          <w:szCs w:val="24"/>
        </w:rPr>
        <w:t>;</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3420 - средства единого казначейского счета до выяснения принадлежности;</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4100 - финансовый результат по операциям по управлению остатками средств на едином казначейском счете.</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14.3. Код валюты в номере казначейского счета присваивается в соответствии с Общероссийским </w:t>
      </w:r>
      <w:hyperlink r:id="rId10" w:history="1">
        <w:r>
          <w:rPr>
            <w:rFonts w:ascii="Times New Roman" w:hAnsi="Times New Roman" w:cs="Times New Roman"/>
            <w:color w:val="0000FF"/>
            <w:sz w:val="24"/>
            <w:szCs w:val="24"/>
          </w:rPr>
          <w:t>классификатором</w:t>
        </w:r>
      </w:hyperlink>
      <w:r>
        <w:rPr>
          <w:rFonts w:ascii="Times New Roman" w:hAnsi="Times New Roman" w:cs="Times New Roman"/>
          <w:sz w:val="24"/>
          <w:szCs w:val="24"/>
        </w:rPr>
        <w:t xml:space="preserve"> валют.</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14.4. Идентификатор публично-правового образования в номере казначейского счета соответствует коду по Общероссийскому </w:t>
      </w:r>
      <w:hyperlink r:id="rId11" w:history="1">
        <w:r>
          <w:rPr>
            <w:rFonts w:ascii="Times New Roman" w:hAnsi="Times New Roman" w:cs="Times New Roman"/>
            <w:color w:val="0000FF"/>
            <w:sz w:val="24"/>
            <w:szCs w:val="24"/>
          </w:rPr>
          <w:t>классификатору</w:t>
        </w:r>
      </w:hyperlink>
      <w:r>
        <w:rPr>
          <w:rFonts w:ascii="Times New Roman" w:hAnsi="Times New Roman" w:cs="Times New Roman"/>
          <w:sz w:val="24"/>
          <w:szCs w:val="24"/>
        </w:rPr>
        <w:t xml:space="preserve"> территорий муниципальных образований (далее - код ОКТМО) с учетом следующих особенностей:</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федеральному бюджету соответствует код </w:t>
      </w:r>
      <w:hyperlink r:id="rId12" w:history="1">
        <w:r>
          <w:rPr>
            <w:rFonts w:ascii="Times New Roman" w:hAnsi="Times New Roman" w:cs="Times New Roman"/>
            <w:color w:val="0000FF"/>
            <w:sz w:val="24"/>
            <w:szCs w:val="24"/>
          </w:rPr>
          <w:t>ОКТМО</w:t>
        </w:r>
      </w:hyperlink>
      <w:r>
        <w:rPr>
          <w:rFonts w:ascii="Times New Roman" w:hAnsi="Times New Roman" w:cs="Times New Roman"/>
          <w:sz w:val="24"/>
          <w:szCs w:val="24"/>
        </w:rPr>
        <w:t xml:space="preserve"> "00 000 001";</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бюджету Пенсионного фонда Российской Федерации соответствует код </w:t>
      </w:r>
      <w:hyperlink r:id="rId13" w:history="1">
        <w:r>
          <w:rPr>
            <w:rFonts w:ascii="Times New Roman" w:hAnsi="Times New Roman" w:cs="Times New Roman"/>
            <w:color w:val="0000FF"/>
            <w:sz w:val="24"/>
            <w:szCs w:val="24"/>
          </w:rPr>
          <w:t>ОКТМО</w:t>
        </w:r>
      </w:hyperlink>
      <w:r>
        <w:rPr>
          <w:rFonts w:ascii="Times New Roman" w:hAnsi="Times New Roman" w:cs="Times New Roman"/>
          <w:sz w:val="24"/>
          <w:szCs w:val="24"/>
        </w:rPr>
        <w:t xml:space="preserve"> "00 000 006";</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бюджету Фонда социального страхования соответствует код </w:t>
      </w:r>
      <w:hyperlink r:id="rId14" w:history="1">
        <w:r>
          <w:rPr>
            <w:rFonts w:ascii="Times New Roman" w:hAnsi="Times New Roman" w:cs="Times New Roman"/>
            <w:color w:val="0000FF"/>
            <w:sz w:val="24"/>
            <w:szCs w:val="24"/>
          </w:rPr>
          <w:t>ОКТМО</w:t>
        </w:r>
      </w:hyperlink>
      <w:r>
        <w:rPr>
          <w:rFonts w:ascii="Times New Roman" w:hAnsi="Times New Roman" w:cs="Times New Roman"/>
          <w:sz w:val="24"/>
          <w:szCs w:val="24"/>
        </w:rPr>
        <w:t xml:space="preserve"> "00 000 007";</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бюджету Фонда обязательного медицинского страхования соответствует код </w:t>
      </w:r>
      <w:hyperlink r:id="rId15" w:history="1">
        <w:r>
          <w:rPr>
            <w:rFonts w:ascii="Times New Roman" w:hAnsi="Times New Roman" w:cs="Times New Roman"/>
            <w:color w:val="0000FF"/>
            <w:sz w:val="24"/>
            <w:szCs w:val="24"/>
          </w:rPr>
          <w:t>ОКТМО</w:t>
        </w:r>
      </w:hyperlink>
      <w:r>
        <w:rPr>
          <w:rFonts w:ascii="Times New Roman" w:hAnsi="Times New Roman" w:cs="Times New Roman"/>
          <w:sz w:val="24"/>
          <w:szCs w:val="24"/>
        </w:rPr>
        <w:t xml:space="preserve"> "00 000 008";</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бюджету субъекта Российской Федерации соответствует код </w:t>
      </w:r>
      <w:hyperlink r:id="rId16" w:history="1">
        <w:r>
          <w:rPr>
            <w:rFonts w:ascii="Times New Roman" w:hAnsi="Times New Roman" w:cs="Times New Roman"/>
            <w:color w:val="0000FF"/>
            <w:sz w:val="24"/>
            <w:szCs w:val="24"/>
          </w:rPr>
          <w:t>ОКТМО</w:t>
        </w:r>
      </w:hyperlink>
      <w:r>
        <w:rPr>
          <w:rFonts w:ascii="Times New Roman" w:hAnsi="Times New Roman" w:cs="Times New Roman"/>
          <w:sz w:val="24"/>
          <w:szCs w:val="24"/>
        </w:rPr>
        <w:t>, имеющий ненулевое значение в первых двух разрядах кода (трех разрядах кода - для Ямало-Ненецкого, Ханты-Мансийского и Ненецкого автономных округов), а в остальных разрядах кода - нули (XX 000 000, XX X00 000), отражающий принадлежность к субъекту Российской Федерации;</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бюджету территориального фонда обязательного медицинского страхования соответствует код </w:t>
      </w:r>
      <w:hyperlink r:id="rId17" w:history="1">
        <w:r>
          <w:rPr>
            <w:rFonts w:ascii="Times New Roman" w:hAnsi="Times New Roman" w:cs="Times New Roman"/>
            <w:color w:val="0000FF"/>
            <w:sz w:val="24"/>
            <w:szCs w:val="24"/>
          </w:rPr>
          <w:t>ОКТМО</w:t>
        </w:r>
      </w:hyperlink>
      <w:r>
        <w:rPr>
          <w:rFonts w:ascii="Times New Roman" w:hAnsi="Times New Roman" w:cs="Times New Roman"/>
          <w:sz w:val="24"/>
          <w:szCs w:val="24"/>
        </w:rPr>
        <w:t xml:space="preserve"> - "XX 000 009" ("XX X00 009"), где первые два разряда кода (три разряда кода - для Ямало-Ненецкого, Ханты-Мансийского и Ненецкого автономных округов) определяют принадлежность территориального фонда к субъекту Российской Федерации.</w:t>
      </w:r>
      <w:proofErr w:type="gramEnd"/>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14.5. Код территориального органа Федерального казначейства, указанный в номере казначейского счета, присваивается Федеральным казначейством.</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14.6. Порядковый номер счета используется при открытии нескольких казначейских счетов одного вида.</w:t>
      </w: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II. Открытие казначейских счетов</w:t>
      </w: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ind w:firstLine="540"/>
        <w:jc w:val="both"/>
        <w:rPr>
          <w:rFonts w:ascii="Times New Roman" w:hAnsi="Times New Roman" w:cs="Times New Roman"/>
          <w:sz w:val="24"/>
          <w:szCs w:val="24"/>
        </w:rPr>
      </w:pPr>
      <w:bookmarkStart w:id="2" w:name="Par156"/>
      <w:bookmarkEnd w:id="2"/>
      <w:r>
        <w:rPr>
          <w:rFonts w:ascii="Times New Roman" w:hAnsi="Times New Roman" w:cs="Times New Roman"/>
          <w:sz w:val="24"/>
          <w:szCs w:val="24"/>
        </w:rPr>
        <w:t>15. Для открытия казначейского счета территориальный орган Федерального казначейства, финансовый орган субъекта Российской Федерации (муниципального образования), орган управления государственным внебюджетным фондом представляют в территориальный орган Федерального казначейства:</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 Заявление на открытие казначейского счета, содержащее реквизиты согласно </w:t>
      </w:r>
      <w:hyperlink w:anchor="Par232" w:history="1">
        <w:r>
          <w:rPr>
            <w:rFonts w:ascii="Times New Roman" w:hAnsi="Times New Roman" w:cs="Times New Roman"/>
            <w:color w:val="0000FF"/>
            <w:sz w:val="24"/>
            <w:szCs w:val="24"/>
          </w:rPr>
          <w:t>приложению N 1</w:t>
        </w:r>
      </w:hyperlink>
      <w:r>
        <w:rPr>
          <w:rFonts w:ascii="Times New Roman" w:hAnsi="Times New Roman" w:cs="Times New Roman"/>
          <w:sz w:val="24"/>
          <w:szCs w:val="24"/>
        </w:rPr>
        <w:t xml:space="preserve"> к настоящему Порядку;</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Карточку образцов подписей к казначейским счетам по форме согласно </w:t>
      </w:r>
      <w:hyperlink w:anchor="Par264" w:history="1">
        <w:r>
          <w:rPr>
            <w:rFonts w:ascii="Times New Roman" w:hAnsi="Times New Roman" w:cs="Times New Roman"/>
            <w:color w:val="0000FF"/>
            <w:sz w:val="24"/>
            <w:szCs w:val="24"/>
          </w:rPr>
          <w:t>приложению N 2</w:t>
        </w:r>
      </w:hyperlink>
      <w:r>
        <w:rPr>
          <w:rFonts w:ascii="Times New Roman" w:hAnsi="Times New Roman" w:cs="Times New Roman"/>
          <w:sz w:val="24"/>
          <w:szCs w:val="24"/>
        </w:rPr>
        <w:t xml:space="preserve"> к настоящему Порядку (далее - Карточка образцов подписей).</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Документы, представленные в соответствии с настоящим Порядком в территориальный орган Федерального казначейства, для открытия казначейского счета, формируются в дело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roofErr w:type="gramEnd"/>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 всем казначейским счетам, открытым в территориальном органе Федерального казначейства, оформляется единое дело соответственно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bookmarkStart w:id="3" w:name="Par161"/>
      <w:bookmarkEnd w:id="3"/>
      <w:r>
        <w:rPr>
          <w:rFonts w:ascii="Times New Roman" w:hAnsi="Times New Roman" w:cs="Times New Roman"/>
          <w:sz w:val="24"/>
          <w:szCs w:val="24"/>
        </w:rPr>
        <w:t xml:space="preserve">16. Оформление </w:t>
      </w:r>
      <w:hyperlink w:anchor="Par264" w:history="1">
        <w:r>
          <w:rPr>
            <w:rFonts w:ascii="Times New Roman" w:hAnsi="Times New Roman" w:cs="Times New Roman"/>
            <w:color w:val="0000FF"/>
            <w:sz w:val="24"/>
            <w:szCs w:val="24"/>
          </w:rPr>
          <w:t>Карточки</w:t>
        </w:r>
      </w:hyperlink>
      <w:r>
        <w:rPr>
          <w:rFonts w:ascii="Times New Roman" w:hAnsi="Times New Roman" w:cs="Times New Roman"/>
          <w:sz w:val="24"/>
          <w:szCs w:val="24"/>
        </w:rPr>
        <w:t xml:space="preserve"> образцов подписей осуществляется следующим образом.</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hyperlink w:anchor="Par264" w:history="1">
        <w:r>
          <w:rPr>
            <w:rFonts w:ascii="Times New Roman" w:hAnsi="Times New Roman" w:cs="Times New Roman"/>
            <w:color w:val="0000FF"/>
            <w:sz w:val="24"/>
            <w:szCs w:val="24"/>
          </w:rPr>
          <w:t>наименовании</w:t>
        </w:r>
      </w:hyperlink>
      <w:r>
        <w:rPr>
          <w:rFonts w:ascii="Times New Roman" w:hAnsi="Times New Roman" w:cs="Times New Roman"/>
          <w:sz w:val="24"/>
          <w:szCs w:val="24"/>
        </w:rPr>
        <w:t xml:space="preserve"> формы Карточки образцов подписей проставляется номер, присвоенный ей территориальным органом Федерального казначейства, финансовым органом субъекта Российской </w:t>
      </w:r>
      <w:r>
        <w:rPr>
          <w:rFonts w:ascii="Times New Roman" w:hAnsi="Times New Roman" w:cs="Times New Roman"/>
          <w:sz w:val="24"/>
          <w:szCs w:val="24"/>
        </w:rPr>
        <w:lastRenderedPageBreak/>
        <w:t xml:space="preserve">Федерации (муниципального образования), органом управления государственным внебюджетным фондом. Территориальный орган Федерального казначейства в </w:t>
      </w:r>
      <w:hyperlink w:anchor="Par264" w:history="1">
        <w:r>
          <w:rPr>
            <w:rFonts w:ascii="Times New Roman" w:hAnsi="Times New Roman" w:cs="Times New Roman"/>
            <w:color w:val="0000FF"/>
            <w:sz w:val="24"/>
            <w:szCs w:val="24"/>
          </w:rPr>
          <w:t>наименовании</w:t>
        </w:r>
      </w:hyperlink>
      <w:r>
        <w:rPr>
          <w:rFonts w:ascii="Times New Roman" w:hAnsi="Times New Roman" w:cs="Times New Roman"/>
          <w:sz w:val="24"/>
          <w:szCs w:val="24"/>
        </w:rPr>
        <w:t xml:space="preserve"> формы Карточки образцов подписей проставляет номера открытых территориальному органу Федерального казначейства, финансовому органу субъекта Российской Федерации (муниципального образования), органу управления государственным внебюджетным фондом казначейских счетов (или зачеркивает номера закрытых казначейских счетов).</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заголовочной </w:t>
      </w:r>
      <w:hyperlink w:anchor="Par264" w:history="1">
        <w:r>
          <w:rPr>
            <w:rFonts w:ascii="Times New Roman" w:hAnsi="Times New Roman" w:cs="Times New Roman"/>
            <w:color w:val="0000FF"/>
            <w:sz w:val="24"/>
            <w:szCs w:val="24"/>
          </w:rPr>
          <w:t>части</w:t>
        </w:r>
      </w:hyperlink>
      <w:r>
        <w:rPr>
          <w:rFonts w:ascii="Times New Roman" w:hAnsi="Times New Roman" w:cs="Times New Roman"/>
          <w:sz w:val="24"/>
          <w:szCs w:val="24"/>
        </w:rPr>
        <w:t xml:space="preserve"> формы Карточки образцов подписей территориальным органом Федерального казначейства, финансовым органом субъекта Российской Федерации (муниципального образования), органом управления государственным внебюджетным фондом указываются:</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hyperlink w:anchor="Par275" w:history="1">
        <w:r>
          <w:rPr>
            <w:rFonts w:ascii="Times New Roman" w:hAnsi="Times New Roman" w:cs="Times New Roman"/>
            <w:color w:val="0000FF"/>
            <w:sz w:val="24"/>
            <w:szCs w:val="24"/>
          </w:rPr>
          <w:t>дата</w:t>
        </w:r>
      </w:hyperlink>
      <w:r>
        <w:rPr>
          <w:rFonts w:ascii="Times New Roman" w:hAnsi="Times New Roman" w:cs="Times New Roman"/>
          <w:sz w:val="24"/>
          <w:szCs w:val="24"/>
        </w:rPr>
        <w:t xml:space="preserve"> составления документа, с отражением в кодовой зоне даты в формате "день, месяц, год" (00.00.0000);</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по </w:t>
      </w:r>
      <w:hyperlink w:anchor="Par278" w:history="1">
        <w:r>
          <w:rPr>
            <w:rFonts w:ascii="Times New Roman" w:hAnsi="Times New Roman" w:cs="Times New Roman"/>
            <w:color w:val="0000FF"/>
            <w:sz w:val="24"/>
            <w:szCs w:val="24"/>
          </w:rPr>
          <w:t>строке</w:t>
        </w:r>
      </w:hyperlink>
      <w:r>
        <w:rPr>
          <w:rFonts w:ascii="Times New Roman" w:hAnsi="Times New Roman" w:cs="Times New Roman"/>
          <w:sz w:val="24"/>
          <w:szCs w:val="24"/>
        </w:rPr>
        <w:t xml:space="preserve"> "Наименование клиента" - полное и сокращенное (используется при составлении распоряжений о совершении казначейского платежа в случае, когда информация, подлежащая заполнению в обязательном порядке, имеет ограничение по числу символов) наименование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в соответствии с полным и сокращенным наименованием (с учетом символа "N", кавычек, скобок, знаков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препинания), указанным в его реестровой записи реестра участников бюджетного процесса, а также юридических лиц, не являющихся участниками бюджетного процесса (далее - Сводный реестр), ведение которого осуществляется в порядке, установленном Министерством финансов Российской Федерации &lt;1&gt;, с отражением в кодовой зоне кода по Сводному реестру, кода по Общероссийскому классификатору предприятий и организаций (далее - ОКПО), идентификационного номера налогоплательщика (далее - ИНН) и кода причины постановки</w:t>
      </w:r>
      <w:proofErr w:type="gramEnd"/>
      <w:r>
        <w:rPr>
          <w:rFonts w:ascii="Times New Roman" w:hAnsi="Times New Roman" w:cs="Times New Roman"/>
          <w:sz w:val="24"/>
          <w:szCs w:val="24"/>
        </w:rPr>
        <w:t xml:space="preserve"> на учет (далее - КПП).</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&lt;1&gt; </w:t>
      </w:r>
      <w:hyperlink r:id="rId18" w:history="1">
        <w:r>
          <w:rPr>
            <w:rFonts w:ascii="Times New Roman" w:hAnsi="Times New Roman" w:cs="Times New Roman"/>
            <w:color w:val="0000FF"/>
            <w:sz w:val="24"/>
            <w:szCs w:val="24"/>
          </w:rPr>
          <w:t>Приказ</w:t>
        </w:r>
      </w:hyperlink>
      <w:r>
        <w:rPr>
          <w:rFonts w:ascii="Times New Roman" w:hAnsi="Times New Roman" w:cs="Times New Roman"/>
          <w:sz w:val="24"/>
          <w:szCs w:val="24"/>
        </w:rPr>
        <w:t xml:space="preserve"> Министерства финансов Российской Федерации от 23 декабря 2014 г. N 163н "О Порядке формирования и ведения реестра участников бюджетного процесса, а также юридических лиц, не являющихся участниками бюджетного процесса" (зарегистрирован Министерством юстиции Российской Федерации 9 февраля 2015 г., регистрационный номер 35954), с изменениями, внесенными приказами Министерства финансов Российской Федерации от 3 ноября 2016 г. N 203н (зарегистрирован Министерством</w:t>
      </w:r>
      <w:proofErr w:type="gramEnd"/>
      <w:r>
        <w:rPr>
          <w:rFonts w:ascii="Times New Roman" w:hAnsi="Times New Roman" w:cs="Times New Roman"/>
          <w:sz w:val="24"/>
          <w:szCs w:val="24"/>
        </w:rPr>
        <w:t xml:space="preserve"> юстиции Российской Федерации 2 декабря 2016 г., регистрационный номер 44545), от 27 ноября 2017 г. N 204н (зарегистрирован Министерством юстиции Российской Федерации 21 декабря 2017 г., регистрационный номер 49355), от 7 июня 2019 г. N 89н (зарегистрирован Министерством юстиции Российской Федерации 4 июля 2019 г., регистрационный номер 55128).</w:t>
      </w: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ind w:firstLine="540"/>
        <w:jc w:val="both"/>
        <w:rPr>
          <w:rFonts w:ascii="Times New Roman" w:hAnsi="Times New Roman" w:cs="Times New Roman"/>
          <w:sz w:val="24"/>
          <w:szCs w:val="24"/>
        </w:rPr>
      </w:pPr>
      <w:hyperlink w:anchor="Par292" w:history="1">
        <w:r>
          <w:rPr>
            <w:rFonts w:ascii="Times New Roman" w:hAnsi="Times New Roman" w:cs="Times New Roman"/>
            <w:color w:val="0000FF"/>
            <w:sz w:val="24"/>
            <w:szCs w:val="24"/>
          </w:rPr>
          <w:t>Раздел</w:t>
        </w:r>
      </w:hyperlink>
      <w:r>
        <w:rPr>
          <w:rFonts w:ascii="Times New Roman" w:hAnsi="Times New Roman" w:cs="Times New Roman"/>
          <w:sz w:val="24"/>
          <w:szCs w:val="24"/>
        </w:rPr>
        <w:t xml:space="preserve"> "Образцы подписей должностных лиц клиента, имеющих право подписи распоряжений и иных документов при совершении операции по казначейскому счету" заполняется территориальным органом Федерального казначейства, финансовым органом субъекта Российской Федерации (муниципального образования), органом управления государственным внебюджетным фондом следующим образом.</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hyperlink w:anchor="Par300" w:history="1">
        <w:r>
          <w:rPr>
            <w:rFonts w:ascii="Times New Roman" w:hAnsi="Times New Roman" w:cs="Times New Roman"/>
            <w:color w:val="0000FF"/>
            <w:sz w:val="24"/>
            <w:szCs w:val="24"/>
          </w:rPr>
          <w:t>графе 2</w:t>
        </w:r>
      </w:hyperlink>
      <w:r>
        <w:rPr>
          <w:rFonts w:ascii="Times New Roman" w:hAnsi="Times New Roman" w:cs="Times New Roman"/>
          <w:sz w:val="24"/>
          <w:szCs w:val="24"/>
        </w:rPr>
        <w:t xml:space="preserve"> указываются полные наименования должностей должностных лиц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имеющих соответственно право первой или второй подписи.</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В </w:t>
      </w:r>
      <w:hyperlink w:anchor="Par301" w:history="1">
        <w:r>
          <w:rPr>
            <w:rFonts w:ascii="Times New Roman" w:hAnsi="Times New Roman" w:cs="Times New Roman"/>
            <w:color w:val="0000FF"/>
            <w:sz w:val="24"/>
            <w:szCs w:val="24"/>
          </w:rPr>
          <w:t>графе 3</w:t>
        </w:r>
      </w:hyperlink>
      <w:r>
        <w:rPr>
          <w:rFonts w:ascii="Times New Roman" w:hAnsi="Times New Roman" w:cs="Times New Roman"/>
          <w:sz w:val="24"/>
          <w:szCs w:val="24"/>
        </w:rPr>
        <w:t xml:space="preserve"> указываются полностью без сокращений фамилии, имена и отчества (при наличии) должностных лиц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которым предоставляется право подписи документов при совершении операций по казначейскому счету (казначейским счетам).</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hyperlink w:anchor="Par302" w:history="1">
        <w:r>
          <w:rPr>
            <w:rFonts w:ascii="Times New Roman" w:hAnsi="Times New Roman" w:cs="Times New Roman"/>
            <w:color w:val="0000FF"/>
            <w:sz w:val="24"/>
            <w:szCs w:val="24"/>
          </w:rPr>
          <w:t>графе 4</w:t>
        </w:r>
      </w:hyperlink>
      <w:r>
        <w:rPr>
          <w:rFonts w:ascii="Times New Roman" w:hAnsi="Times New Roman" w:cs="Times New Roman"/>
          <w:sz w:val="24"/>
          <w:szCs w:val="24"/>
        </w:rPr>
        <w:t xml:space="preserve"> проставляются образцы подписей соответствующих должностных лиц.</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hyperlink w:anchor="Par303" w:history="1">
        <w:r>
          <w:rPr>
            <w:rFonts w:ascii="Times New Roman" w:hAnsi="Times New Roman" w:cs="Times New Roman"/>
            <w:color w:val="0000FF"/>
            <w:sz w:val="24"/>
            <w:szCs w:val="24"/>
          </w:rPr>
          <w:t>графе 5</w:t>
        </w:r>
      </w:hyperlink>
      <w:r>
        <w:rPr>
          <w:rFonts w:ascii="Times New Roman" w:hAnsi="Times New Roman" w:cs="Times New Roman"/>
          <w:sz w:val="24"/>
          <w:szCs w:val="24"/>
        </w:rPr>
        <w:t xml:space="preserve"> указывается срок полномочий каждого должностного лица, которое временно пользуется правом подписи, при этом сначала указывается дата начала срока полномочий, а затем через знак "тире" дата окончания срока полномочий. Дата начала срока полномочий лиц, временно пользующихся правом подписи, должна быть не ранее даты представления Карточки образцов подписей.</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hyperlink w:anchor="Par264" w:history="1">
        <w:r>
          <w:rPr>
            <w:rFonts w:ascii="Times New Roman" w:hAnsi="Times New Roman" w:cs="Times New Roman"/>
            <w:color w:val="0000FF"/>
            <w:sz w:val="24"/>
            <w:szCs w:val="24"/>
          </w:rPr>
          <w:t>Карточка</w:t>
        </w:r>
      </w:hyperlink>
      <w:r>
        <w:rPr>
          <w:rFonts w:ascii="Times New Roman" w:hAnsi="Times New Roman" w:cs="Times New Roman"/>
          <w:sz w:val="24"/>
          <w:szCs w:val="24"/>
        </w:rPr>
        <w:t xml:space="preserve"> образцов подписей подписывается:</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руководителем (уполномоченным им лицом с указанием должности)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с указанием расшифровки его подписи, содержащей полные (без сокращения) фамилию, имя и отчество;</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главным бухгалтером (уполномоченным руководителем лицом с указанием должности)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с указанием расшифровки его подписи, содержащей полные (без сокращения) фамилию, имя и отчество, и даты подписания Карточки образцов подписей.</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На подписи ставится оттиск печати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так, чтобы подписи и расшифровки подписи читались ясно и четко.</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17. </w:t>
      </w:r>
      <w:hyperlink w:anchor="Par264" w:history="1">
        <w:r>
          <w:rPr>
            <w:rFonts w:ascii="Times New Roman" w:hAnsi="Times New Roman" w:cs="Times New Roman"/>
            <w:color w:val="0000FF"/>
            <w:sz w:val="24"/>
            <w:szCs w:val="24"/>
          </w:rPr>
          <w:t>Карточка</w:t>
        </w:r>
      </w:hyperlink>
      <w:r>
        <w:rPr>
          <w:rFonts w:ascii="Times New Roman" w:hAnsi="Times New Roman" w:cs="Times New Roman"/>
          <w:sz w:val="24"/>
          <w:szCs w:val="24"/>
        </w:rPr>
        <w:t xml:space="preserve"> образцов подписей оформляется и представляется территориальным органом Федерального казначейства, финансовым органом субъекта Российской Федерации (муниципального образования), органом управления государственным внебюджетным фондом с учетом следующих особенностей:</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hyperlink w:anchor="Par264" w:history="1">
        <w:r>
          <w:rPr>
            <w:rFonts w:ascii="Times New Roman" w:hAnsi="Times New Roman" w:cs="Times New Roman"/>
            <w:color w:val="0000FF"/>
            <w:sz w:val="24"/>
            <w:szCs w:val="24"/>
          </w:rPr>
          <w:t>Карточка</w:t>
        </w:r>
      </w:hyperlink>
      <w:r>
        <w:rPr>
          <w:rFonts w:ascii="Times New Roman" w:hAnsi="Times New Roman" w:cs="Times New Roman"/>
          <w:sz w:val="24"/>
          <w:szCs w:val="24"/>
        </w:rPr>
        <w:t xml:space="preserve"> образцов подписей представляется территориальным органом Федерального казначейства, финансовым органом субъекта Российской Федерации (муниципального образования), органом управления государственным внебюджетным фондом в территориальный орган Федерального казначейства в одном экземпляре;</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б) при смене руководителя (уполномоченного им лица) или главного бухгалтера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а также при назначении временно исполняющего обязанности руководителя или главного бухгалтера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в случае освобождения руководителя или главного бухгалтера</w:t>
      </w:r>
      <w:proofErr w:type="gramEnd"/>
      <w:r>
        <w:rPr>
          <w:rFonts w:ascii="Times New Roman" w:hAnsi="Times New Roman" w:cs="Times New Roman"/>
          <w:sz w:val="24"/>
          <w:szCs w:val="24"/>
        </w:rPr>
        <w:t xml:space="preserve">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w:t>
      </w:r>
      <w:r>
        <w:rPr>
          <w:rFonts w:ascii="Times New Roman" w:hAnsi="Times New Roman" w:cs="Times New Roman"/>
          <w:sz w:val="24"/>
          <w:szCs w:val="24"/>
        </w:rPr>
        <w:lastRenderedPageBreak/>
        <w:t>фондом от ранее занимаемой должности представляется новая Карточка образцов подписей с образцами подписей всех лиц, имеющих право первой и второй подписи;</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bookmarkStart w:id="4" w:name="Par181"/>
      <w:bookmarkEnd w:id="4"/>
      <w:r>
        <w:rPr>
          <w:rFonts w:ascii="Times New Roman" w:hAnsi="Times New Roman" w:cs="Times New Roman"/>
          <w:sz w:val="24"/>
          <w:szCs w:val="24"/>
        </w:rPr>
        <w:t>в) при назначении исполняющего обязанности руководителя или главного бухгалтера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дополнительно представляется Карточка образцов подписей, в которую включается только образец подписи лица, исполняющего обязанности руководителя или главного бухгалтера, с указанием срока их полномочий;</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г) при временном предоставлении лицу права первой или второй подписи (кроме случаев, предусмотренных </w:t>
      </w:r>
      <w:hyperlink w:anchor="Par181" w:history="1">
        <w:r>
          <w:rPr>
            <w:rFonts w:ascii="Times New Roman" w:hAnsi="Times New Roman" w:cs="Times New Roman"/>
            <w:color w:val="0000FF"/>
            <w:sz w:val="24"/>
            <w:szCs w:val="24"/>
          </w:rPr>
          <w:t>подпунктом "в"</w:t>
        </w:r>
      </w:hyperlink>
      <w:r>
        <w:rPr>
          <w:rFonts w:ascii="Times New Roman" w:hAnsi="Times New Roman" w:cs="Times New Roman"/>
          <w:sz w:val="24"/>
          <w:szCs w:val="24"/>
        </w:rPr>
        <w:t xml:space="preserve"> настоящего пункта), а также при временной замене одного из лиц, включенных в </w:t>
      </w:r>
      <w:hyperlink w:anchor="Par264" w:history="1">
        <w:r>
          <w:rPr>
            <w:rFonts w:ascii="Times New Roman" w:hAnsi="Times New Roman" w:cs="Times New Roman"/>
            <w:color w:val="0000FF"/>
            <w:sz w:val="24"/>
            <w:szCs w:val="24"/>
          </w:rPr>
          <w:t>Карточку</w:t>
        </w:r>
      </w:hyperlink>
      <w:r>
        <w:rPr>
          <w:rFonts w:ascii="Times New Roman" w:hAnsi="Times New Roman" w:cs="Times New Roman"/>
          <w:sz w:val="24"/>
          <w:szCs w:val="24"/>
        </w:rPr>
        <w:t xml:space="preserve"> образцов подписей, уполномоченных руководителем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новая Карточка образцов подписей не составляется, а дополнительно представляется Карточка образцов подписей</w:t>
      </w:r>
      <w:proofErr w:type="gramEnd"/>
      <w:r>
        <w:rPr>
          <w:rFonts w:ascii="Times New Roman" w:hAnsi="Times New Roman" w:cs="Times New Roman"/>
          <w:sz w:val="24"/>
          <w:szCs w:val="24"/>
        </w:rPr>
        <w:t xml:space="preserve"> только с образцом подписи лица, которому временно предоставлено право первой или второй подписи, с указанием срока ее действия. Временная Карточка образцов подписей подписывается руководителем и главным бухгалтером (уполномоченными руководителем лицами)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Если территориальному органу Федерального казначейства, финансовому органу субъекта Российской Федерации (муниципального образования), органу управления государственным внебюджетным фондом в соответствии с настоящим Порядком уже открыт казначейский счет, представление Карточки образцов подписей для открытия других казначейских счетов не требуется в случае, если лица, имеющие право подписывать документы, на основании которых осуществляются операции по вновь открываемым казначейским счетам, остаются прежними.</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В заголовочной части ранее представленной Карточки образцов подписей проставляются номера вновь открытых территориальному органу Федерального казначейства, финансовому органу субъекта Российской Федерации (муниципального образования), органу управления государственным внебюджетным фондом казначейских счетов.</w:t>
      </w:r>
      <w:proofErr w:type="gramEnd"/>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случае замены или дополнения подписей лиц, имеющих право подписывать документы, на основании которых осуществляются операции по вновь открываемым казначейским счетам, территориальным органом Федерального казначейства, финансовым органом субъекта Российской Федерации (муниципального образования), органом управления государственным внебюджетным фондом представляется новая, оформленная в соответствии с </w:t>
      </w:r>
      <w:hyperlink w:anchor="Par161" w:history="1">
        <w:r>
          <w:rPr>
            <w:rFonts w:ascii="Times New Roman" w:hAnsi="Times New Roman" w:cs="Times New Roman"/>
            <w:color w:val="0000FF"/>
            <w:sz w:val="24"/>
            <w:szCs w:val="24"/>
          </w:rPr>
          <w:t>пунктом 16</w:t>
        </w:r>
      </w:hyperlink>
      <w:r>
        <w:rPr>
          <w:rFonts w:ascii="Times New Roman" w:hAnsi="Times New Roman" w:cs="Times New Roman"/>
          <w:sz w:val="24"/>
          <w:szCs w:val="24"/>
        </w:rPr>
        <w:t xml:space="preserve"> настоящего Порядка, </w:t>
      </w:r>
      <w:hyperlink w:anchor="Par264" w:history="1">
        <w:r>
          <w:rPr>
            <w:rFonts w:ascii="Times New Roman" w:hAnsi="Times New Roman" w:cs="Times New Roman"/>
            <w:color w:val="0000FF"/>
            <w:sz w:val="24"/>
            <w:szCs w:val="24"/>
          </w:rPr>
          <w:t>Карточка</w:t>
        </w:r>
      </w:hyperlink>
      <w:r>
        <w:rPr>
          <w:rFonts w:ascii="Times New Roman" w:hAnsi="Times New Roman" w:cs="Times New Roman"/>
          <w:sz w:val="24"/>
          <w:szCs w:val="24"/>
        </w:rPr>
        <w:t xml:space="preserve"> образцов подписей с образцами подписей всех лиц, имеющих право первой и второй</w:t>
      </w:r>
      <w:proofErr w:type="gramEnd"/>
      <w:r>
        <w:rPr>
          <w:rFonts w:ascii="Times New Roman" w:hAnsi="Times New Roman" w:cs="Times New Roman"/>
          <w:sz w:val="24"/>
          <w:szCs w:val="24"/>
        </w:rPr>
        <w:t xml:space="preserve"> подписи.</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18. </w:t>
      </w:r>
      <w:proofErr w:type="gramStart"/>
      <w:r>
        <w:rPr>
          <w:rFonts w:ascii="Times New Roman" w:hAnsi="Times New Roman" w:cs="Times New Roman"/>
          <w:sz w:val="24"/>
          <w:szCs w:val="24"/>
        </w:rPr>
        <w:t xml:space="preserve">Территориальный орган Федерального казначейства не позднее следующего рабочего дня после представления документов для открытия казначейского счета, указанных в </w:t>
      </w:r>
      <w:hyperlink w:anchor="Par156" w:history="1">
        <w:r>
          <w:rPr>
            <w:rFonts w:ascii="Times New Roman" w:hAnsi="Times New Roman" w:cs="Times New Roman"/>
            <w:color w:val="0000FF"/>
            <w:sz w:val="24"/>
            <w:szCs w:val="24"/>
          </w:rPr>
          <w:t>пункте 15</w:t>
        </w:r>
      </w:hyperlink>
      <w:r>
        <w:rPr>
          <w:rFonts w:ascii="Times New Roman" w:hAnsi="Times New Roman" w:cs="Times New Roman"/>
          <w:sz w:val="24"/>
          <w:szCs w:val="24"/>
        </w:rPr>
        <w:t xml:space="preserve"> настоящего Порядка, осуществляет проверку реквизитов, предусмотренных для заполнения, соответствие их сведениям в Сводном реестре и в случае положительного результата проверки осуществляет внесение записи в Книгу регистрации казначейских счетов, содержащую реквизиты согласно </w:t>
      </w:r>
      <w:hyperlink w:anchor="Par378" w:history="1">
        <w:r>
          <w:rPr>
            <w:rFonts w:ascii="Times New Roman" w:hAnsi="Times New Roman" w:cs="Times New Roman"/>
            <w:color w:val="0000FF"/>
            <w:sz w:val="24"/>
            <w:szCs w:val="24"/>
          </w:rPr>
          <w:t>приложению N 3</w:t>
        </w:r>
      </w:hyperlink>
      <w:r>
        <w:rPr>
          <w:rFonts w:ascii="Times New Roman" w:hAnsi="Times New Roman" w:cs="Times New Roman"/>
          <w:sz w:val="24"/>
          <w:szCs w:val="24"/>
        </w:rPr>
        <w:t xml:space="preserve"> к настоящему Порядку, после чего казначейский</w:t>
      </w:r>
      <w:proofErr w:type="gramEnd"/>
      <w:r>
        <w:rPr>
          <w:rFonts w:ascii="Times New Roman" w:hAnsi="Times New Roman" w:cs="Times New Roman"/>
          <w:sz w:val="24"/>
          <w:szCs w:val="24"/>
        </w:rPr>
        <w:t xml:space="preserve"> счет считается открытым.</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Книга регистрации казначейских счетов формируется и ведется территориальными органами Федерального казначейства.</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19. </w:t>
      </w:r>
      <w:proofErr w:type="gramStart"/>
      <w:r>
        <w:rPr>
          <w:rFonts w:ascii="Times New Roman" w:hAnsi="Times New Roman" w:cs="Times New Roman"/>
          <w:sz w:val="24"/>
          <w:szCs w:val="24"/>
        </w:rPr>
        <w:t xml:space="preserve">Документы, представленные для открытия казначейского счета в соответствии с </w:t>
      </w:r>
      <w:hyperlink w:anchor="Par156" w:history="1">
        <w:r>
          <w:rPr>
            <w:rFonts w:ascii="Times New Roman" w:hAnsi="Times New Roman" w:cs="Times New Roman"/>
            <w:color w:val="0000FF"/>
            <w:sz w:val="24"/>
            <w:szCs w:val="24"/>
          </w:rPr>
          <w:t>пунктом 15</w:t>
        </w:r>
      </w:hyperlink>
      <w:r>
        <w:rPr>
          <w:rFonts w:ascii="Times New Roman" w:hAnsi="Times New Roman" w:cs="Times New Roman"/>
          <w:sz w:val="24"/>
          <w:szCs w:val="24"/>
        </w:rPr>
        <w:t xml:space="preserve"> настоящего Порядка, не соответствующие положениям </w:t>
      </w:r>
      <w:hyperlink w:anchor="Par156" w:history="1">
        <w:r>
          <w:rPr>
            <w:rFonts w:ascii="Times New Roman" w:hAnsi="Times New Roman" w:cs="Times New Roman"/>
            <w:color w:val="0000FF"/>
            <w:sz w:val="24"/>
            <w:szCs w:val="24"/>
          </w:rPr>
          <w:t>пунктов 15</w:t>
        </w:r>
      </w:hyperlink>
      <w:r>
        <w:rPr>
          <w:rFonts w:ascii="Times New Roman" w:hAnsi="Times New Roman" w:cs="Times New Roman"/>
          <w:sz w:val="24"/>
          <w:szCs w:val="24"/>
        </w:rPr>
        <w:t xml:space="preserve"> и (или) </w:t>
      </w:r>
      <w:hyperlink w:anchor="Par161" w:history="1">
        <w:r>
          <w:rPr>
            <w:rFonts w:ascii="Times New Roman" w:hAnsi="Times New Roman" w:cs="Times New Roman"/>
            <w:color w:val="0000FF"/>
            <w:sz w:val="24"/>
            <w:szCs w:val="24"/>
          </w:rPr>
          <w:t>16</w:t>
        </w:r>
      </w:hyperlink>
      <w:r>
        <w:rPr>
          <w:rFonts w:ascii="Times New Roman" w:hAnsi="Times New Roman" w:cs="Times New Roman"/>
          <w:sz w:val="24"/>
          <w:szCs w:val="24"/>
        </w:rPr>
        <w:t xml:space="preserve"> настоящего Порядка, возвращаются территориальным органом Федерального казначейства не позднее рабочего дня, следующего за днем их представления, вместе с </w:t>
      </w:r>
      <w:hyperlink r:id="rId19" w:history="1">
        <w:r>
          <w:rPr>
            <w:rFonts w:ascii="Times New Roman" w:hAnsi="Times New Roman" w:cs="Times New Roman"/>
            <w:color w:val="0000FF"/>
            <w:sz w:val="24"/>
            <w:szCs w:val="24"/>
          </w:rPr>
          <w:t>Протоколом</w:t>
        </w:r>
      </w:hyperlink>
      <w:r>
        <w:rPr>
          <w:rFonts w:ascii="Times New Roman" w:hAnsi="Times New Roman" w:cs="Times New Roman"/>
          <w:sz w:val="24"/>
          <w:szCs w:val="24"/>
        </w:rPr>
        <w:t xml:space="preserve"> (код формы по КФД 0531805) (далее - Протокол), в котором указывается причина возврата.</w:t>
      </w:r>
      <w:proofErr w:type="gramEnd"/>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20. Территориальный орган Федерального казначейства не позднее рабочего дня, следующего за днем открытия казначейского счета, направляет территориальному органу Федерального казначейства, финансовому органу субъекта Российской Федерации (муниципального образования), органу управления государственным внебюджетным фондом уведомление об открытии казначейского счета, содержащее сведения о номере казначейского счета и его реквизитах.</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 При изменении номера казначейского счета территориальный орган Федерального казначейства направляет информацию об изменении номера казначейского счета территориальному органу Федерального казначейства, финансовому органу субъекта Российской Федерации (муниципального образования), органу управления государственным внебюджетным фондом не позднее рабочего дня наступления указанного события и обеспечивает внесение соответствующих изменений в Книгу регистрации казначейских счетов.</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Копия информации об изменении номера казначейского счета хранится в деле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III. Закрытие казначейских счетов</w:t>
      </w: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 Закрытие казначейского счета осуществляется в следующих случаях:</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а) преобразование (упразднение)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(упразднение);</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 иных случаях, предусмотренных законодательными и иными нормативными правовыми актами Российской Федерации.</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23. Казначейский счет закрывается после внесения изменений в Сводный реестр (за исключением иных случаев закрытия казначейского счета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предусмотренных законодательными и иными нормативными правовыми актами Российской Федерации).</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 При преобразовании территориального органа Федерального казначейства в форме присоединения к нему (выделения из него) другого территориального органа Федерального казначейства без изменения кодов по ОКПО, ИНН и КПП, закрытие казначейских счетов, открытых данному территориальному органу Федерального казначейства не требуется.</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25. Для закрытия казначейского счета территориальный орган Федерального казначейства, финансовый орган субъекта Российской Федерации (муниципального образования), орган управления государственным внебюджетным фондом представляет Заявление на закрытие казначейского счета, содержащее реквизиты согласно </w:t>
      </w:r>
      <w:hyperlink w:anchor="Par406" w:history="1">
        <w:r>
          <w:rPr>
            <w:rFonts w:ascii="Times New Roman" w:hAnsi="Times New Roman" w:cs="Times New Roman"/>
            <w:color w:val="0000FF"/>
            <w:sz w:val="24"/>
            <w:szCs w:val="24"/>
          </w:rPr>
          <w:t>приложению N 4</w:t>
        </w:r>
      </w:hyperlink>
      <w:r>
        <w:rPr>
          <w:rFonts w:ascii="Times New Roman" w:hAnsi="Times New Roman" w:cs="Times New Roman"/>
          <w:sz w:val="24"/>
          <w:szCs w:val="24"/>
        </w:rPr>
        <w:t xml:space="preserve"> к настоящему Порядку.</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bookmarkStart w:id="5" w:name="Par200"/>
      <w:bookmarkEnd w:id="5"/>
      <w:r>
        <w:rPr>
          <w:rFonts w:ascii="Times New Roman" w:hAnsi="Times New Roman" w:cs="Times New Roman"/>
          <w:sz w:val="24"/>
          <w:szCs w:val="24"/>
        </w:rPr>
        <w:lastRenderedPageBreak/>
        <w:t>26. Территориальный орган Федерального казначейства не позднее рабочего дня, следующего за днем представления Заявления на закрытие казначейского счета, осуществляет проверку реквизитов, предусмотренных для заполнения, соответствие их данным Сводного реестра и в случае положительного результата проверки осуществляет внесение записи в Книгу регистрации казначейских счетов, после чего казначейский счет считается закрытым.</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27. </w:t>
      </w:r>
      <w:proofErr w:type="gramStart"/>
      <w:r>
        <w:rPr>
          <w:rFonts w:ascii="Times New Roman" w:hAnsi="Times New Roman" w:cs="Times New Roman"/>
          <w:sz w:val="24"/>
          <w:szCs w:val="24"/>
        </w:rPr>
        <w:t xml:space="preserve">Заявление на закрытие казначейского счета, не прошедшее проверку в соответствии с положениями </w:t>
      </w:r>
      <w:hyperlink w:anchor="Par200" w:history="1">
        <w:r>
          <w:rPr>
            <w:rFonts w:ascii="Times New Roman" w:hAnsi="Times New Roman" w:cs="Times New Roman"/>
            <w:color w:val="0000FF"/>
            <w:sz w:val="24"/>
            <w:szCs w:val="24"/>
          </w:rPr>
          <w:t>пункта 26</w:t>
        </w:r>
      </w:hyperlink>
      <w:r>
        <w:rPr>
          <w:rFonts w:ascii="Times New Roman" w:hAnsi="Times New Roman" w:cs="Times New Roman"/>
          <w:sz w:val="24"/>
          <w:szCs w:val="24"/>
        </w:rPr>
        <w:t xml:space="preserve"> настоящего Порядка, возвращается территориальным органом Федерального казначейства территориальному органу Федерального казначейства, финансовому органу субъекта Российской Федерации (муниципального образования), органу управления государственным внебюджетным фондом не позднее рабочего дня, следующего за днем после его представления вместе с </w:t>
      </w:r>
      <w:hyperlink r:id="rId20" w:history="1">
        <w:r>
          <w:rPr>
            <w:rFonts w:ascii="Times New Roman" w:hAnsi="Times New Roman" w:cs="Times New Roman"/>
            <w:color w:val="0000FF"/>
            <w:sz w:val="24"/>
            <w:szCs w:val="24"/>
          </w:rPr>
          <w:t>Протоколом</w:t>
        </w:r>
      </w:hyperlink>
      <w:r>
        <w:rPr>
          <w:rFonts w:ascii="Times New Roman" w:hAnsi="Times New Roman" w:cs="Times New Roman"/>
          <w:sz w:val="24"/>
          <w:szCs w:val="24"/>
        </w:rPr>
        <w:t>, в котором указывается причина возврата.</w:t>
      </w:r>
      <w:proofErr w:type="gramEnd"/>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28. Казначейский счет закрывается при отсутствии на нем денежных средств.</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29. В случае наличия остатка денежных средств на закрываемом казначейском счете территориальный орган Федерального казначейства, финансовый орган субъекта Российской Федерации (муниципального образования), орган управления государственным внебюджетным фондом представляет распоряжение о совершении казначейского платежа для перечисления остатка денежных средств по назначению.</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течение одного рабочего дня после перечисления денежных средств казначейский счет закрывается, вносится запись в Книгу регистрации казначейских счетов.</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30. </w:t>
      </w:r>
      <w:proofErr w:type="gramStart"/>
      <w:r>
        <w:rPr>
          <w:rFonts w:ascii="Times New Roman" w:hAnsi="Times New Roman" w:cs="Times New Roman"/>
          <w:sz w:val="24"/>
          <w:szCs w:val="24"/>
        </w:rPr>
        <w:t>Денежные средства, поступившие на казначейский счет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после его закрытия, перечисляются на основании распоряжения о совершении казначейского платежа, составленного территориальным органом Федерального казначейства, в соответствии с реквизитами, указанными территориальным органом Федерального казначейства, финансовым органом субъекта Российской Федерации (муниципального образования), органом управления государственным внебюджетным фондом, 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Заявлении</w:t>
      </w:r>
      <w:proofErr w:type="gramEnd"/>
      <w:r>
        <w:rPr>
          <w:rFonts w:ascii="Times New Roman" w:hAnsi="Times New Roman" w:cs="Times New Roman"/>
          <w:sz w:val="24"/>
          <w:szCs w:val="24"/>
        </w:rPr>
        <w:t xml:space="preserve"> на закрытие казначейского счета.</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31. Заявление на закрытие казначейского счета хранится в деле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IV. Документооборот при ведении казначейских счетов</w:t>
      </w: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 Территориальный орган Федерального казначейства не позднее рабочего дня, следующего за днем совершения операции по казначейскому счету, направляет территориальному органу Федерального казначейства, финансовому органу субъекта Российской Федерации (муниципального образования), органу управления государственным внебюджетным фондом выписку из казначейского счета, содержащую следующие обязательные реквизиты:</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дата формирования выписки;</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остаток на начало дня формирования выписки;</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остаток на конец дня формирования выписки;</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номер и дата документа, на основании которого отражена операция на казначейском счете;</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сумма поступлений;</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сумма перечислений;</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итоговая сумма поступлений;</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итоговая сумма перечислений;</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счет отправителя;</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счет получателя;</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назначение платежа.</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33. </w:t>
      </w:r>
      <w:proofErr w:type="gramStart"/>
      <w:r>
        <w:rPr>
          <w:rFonts w:ascii="Times New Roman" w:hAnsi="Times New Roman" w:cs="Times New Roman"/>
          <w:sz w:val="24"/>
          <w:szCs w:val="24"/>
        </w:rPr>
        <w:t>В случае обнаружения в выписке из казначейского счета сумм, ошибочно отраженных на казначейском счете, территориальный орган Федерального казначейства, финансовый орган субъекта Российской Федерации (муниципального образования), орган управления государственным внебюджетным фондом в срок не позднее третьего рабочего дня, следующего за днем получения данной выписки, сообщает территориальному органу Федерального казначейства о суммах, ошибочно отраженных на казначейском счете.</w:t>
      </w:r>
      <w:proofErr w:type="gramEnd"/>
      <w:r>
        <w:rPr>
          <w:rFonts w:ascii="Times New Roman" w:hAnsi="Times New Roman" w:cs="Times New Roman"/>
          <w:sz w:val="24"/>
          <w:szCs w:val="24"/>
        </w:rPr>
        <w:t xml:space="preserve"> При не поступлении от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информации в указанные </w:t>
      </w:r>
      <w:proofErr w:type="gramStart"/>
      <w:r>
        <w:rPr>
          <w:rFonts w:ascii="Times New Roman" w:hAnsi="Times New Roman" w:cs="Times New Roman"/>
          <w:sz w:val="24"/>
          <w:szCs w:val="24"/>
        </w:rPr>
        <w:t>сроки</w:t>
      </w:r>
      <w:proofErr w:type="gramEnd"/>
      <w:r>
        <w:rPr>
          <w:rFonts w:ascii="Times New Roman" w:hAnsi="Times New Roman" w:cs="Times New Roman"/>
          <w:sz w:val="24"/>
          <w:szCs w:val="24"/>
        </w:rPr>
        <w:t xml:space="preserve"> совершенные операции по казначейскому счету и остатки, отраженные на казначейских счетах, считаются подтвержденными.</w:t>
      </w:r>
    </w:p>
    <w:p w:rsidR="00131447" w:rsidRDefault="00131447" w:rsidP="00131447">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34. Хранение выписок из казначейских счетов осуществляется территориальным органом Федерального казначейства в соответствии с правилами делопроизводства.</w:t>
      </w: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N 1</w:t>
      </w:r>
    </w:p>
    <w:p w:rsidR="00131447" w:rsidRDefault="00131447" w:rsidP="001314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Порядку открытия казначейских счетов</w:t>
      </w: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center"/>
        <w:rPr>
          <w:rFonts w:ascii="Times New Roman" w:hAnsi="Times New Roman" w:cs="Times New Roman"/>
          <w:b/>
          <w:bCs/>
          <w:sz w:val="24"/>
          <w:szCs w:val="24"/>
        </w:rPr>
      </w:pPr>
      <w:bookmarkStart w:id="6" w:name="Par232"/>
      <w:bookmarkEnd w:id="6"/>
      <w:r>
        <w:rPr>
          <w:rFonts w:ascii="Times New Roman" w:hAnsi="Times New Roman" w:cs="Times New Roman"/>
          <w:b/>
          <w:bCs/>
          <w:sz w:val="24"/>
          <w:szCs w:val="24"/>
        </w:rPr>
        <w:t>РЕКВИЗИТЫ ЗАЯВЛЕНИЯ НА ОТКРЫТИЕ КАЗНАЧЕЙСКОГО СЧЕТА</w:t>
      </w: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25"/>
        <w:gridCol w:w="5928"/>
      </w:tblGrid>
      <w:tr w:rsidR="00131447">
        <w:tc>
          <w:tcPr>
            <w:tcW w:w="3125"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реквизита</w:t>
            </w:r>
          </w:p>
        </w:tc>
        <w:tc>
          <w:tcPr>
            <w:tcW w:w="5928"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Правила формирования, заполнения реквизита</w:t>
            </w:r>
          </w:p>
        </w:tc>
      </w:tr>
      <w:tr w:rsidR="00131447">
        <w:tc>
          <w:tcPr>
            <w:tcW w:w="3125"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Наименование клиента</w:t>
            </w:r>
          </w:p>
        </w:tc>
        <w:tc>
          <w:tcPr>
            <w:tcW w:w="5928"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Указывается полное наименование (с учетом символа "N", кавычек, скобок, знаков препинания)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в соответствии с полным наименованием, указанным в его реестровой записи Сводного реестра</w:t>
            </w:r>
          </w:p>
        </w:tc>
      </w:tr>
      <w:tr w:rsidR="00131447">
        <w:tc>
          <w:tcPr>
            <w:tcW w:w="3125"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ИНН</w:t>
            </w:r>
          </w:p>
        </w:tc>
        <w:tc>
          <w:tcPr>
            <w:tcW w:w="5928"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Указывается идентификационный номер налогоплательщика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131447">
        <w:tc>
          <w:tcPr>
            <w:tcW w:w="3125"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 КПП</w:t>
            </w:r>
          </w:p>
        </w:tc>
        <w:tc>
          <w:tcPr>
            <w:tcW w:w="5928"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Указывается код причины постановки на учет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131447">
        <w:tc>
          <w:tcPr>
            <w:tcW w:w="3125"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Код по Сводному реестру</w:t>
            </w:r>
          </w:p>
        </w:tc>
        <w:tc>
          <w:tcPr>
            <w:tcW w:w="5928"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Указывается код по Сводному реестру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131447">
        <w:tc>
          <w:tcPr>
            <w:tcW w:w="3125"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Код по ОКПО</w:t>
            </w:r>
          </w:p>
        </w:tc>
        <w:tc>
          <w:tcPr>
            <w:tcW w:w="5928"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Указывается код по Общероссийскому классификатору предприятий и организаций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131447">
        <w:tc>
          <w:tcPr>
            <w:tcW w:w="3125"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Код </w:t>
            </w:r>
            <w:hyperlink r:id="rId21" w:history="1">
              <w:r>
                <w:rPr>
                  <w:rFonts w:ascii="Times New Roman" w:hAnsi="Times New Roman" w:cs="Times New Roman"/>
                  <w:color w:val="0000FF"/>
                  <w:sz w:val="24"/>
                  <w:szCs w:val="24"/>
                </w:rPr>
                <w:t>ОКТМО</w:t>
              </w:r>
            </w:hyperlink>
          </w:p>
        </w:tc>
        <w:tc>
          <w:tcPr>
            <w:tcW w:w="5928"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Указывается код по Общероссийскому </w:t>
            </w:r>
            <w:hyperlink r:id="rId22" w:history="1">
              <w:r>
                <w:rPr>
                  <w:rFonts w:ascii="Times New Roman" w:hAnsi="Times New Roman" w:cs="Times New Roman"/>
                  <w:color w:val="0000FF"/>
                  <w:sz w:val="24"/>
                  <w:szCs w:val="24"/>
                </w:rPr>
                <w:t>классификатору</w:t>
              </w:r>
            </w:hyperlink>
            <w:r>
              <w:rPr>
                <w:rFonts w:ascii="Times New Roman" w:hAnsi="Times New Roman" w:cs="Times New Roman"/>
                <w:sz w:val="24"/>
                <w:szCs w:val="24"/>
              </w:rPr>
              <w:t xml:space="preserve">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131447">
        <w:tc>
          <w:tcPr>
            <w:tcW w:w="3125"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 Наименование открываемого казначейского счета</w:t>
            </w:r>
          </w:p>
        </w:tc>
        <w:tc>
          <w:tcPr>
            <w:tcW w:w="5928" w:type="dxa"/>
            <w:tcBorders>
              <w:top w:val="single" w:sz="4" w:space="0" w:color="auto"/>
              <w:left w:val="single" w:sz="4" w:space="0" w:color="auto"/>
              <w:bottom w:val="single" w:sz="4" w:space="0" w:color="auto"/>
              <w:right w:val="single" w:sz="4" w:space="0" w:color="auto"/>
            </w:tcBorders>
            <w:vAlign w:val="bottom"/>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Указывается наименование соответствующего вида казначейского счета (видов казначейских счетов) в соответствии с видами казначейских счетов, предусмотренными </w:t>
            </w:r>
            <w:hyperlink w:anchor="Par33" w:history="1">
              <w:r>
                <w:rPr>
                  <w:rFonts w:ascii="Times New Roman" w:hAnsi="Times New Roman" w:cs="Times New Roman"/>
                  <w:color w:val="0000FF"/>
                  <w:sz w:val="24"/>
                  <w:szCs w:val="24"/>
                </w:rPr>
                <w:t>пунктом 2</w:t>
              </w:r>
            </w:hyperlink>
            <w:r>
              <w:rPr>
                <w:rFonts w:ascii="Times New Roman" w:hAnsi="Times New Roman" w:cs="Times New Roman"/>
                <w:sz w:val="24"/>
                <w:szCs w:val="24"/>
              </w:rPr>
              <w:t xml:space="preserve"> настоящего Порядка</w:t>
            </w:r>
          </w:p>
        </w:tc>
      </w:tr>
      <w:tr w:rsidR="00131447">
        <w:tc>
          <w:tcPr>
            <w:tcW w:w="3125"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 Код валюты</w:t>
            </w:r>
          </w:p>
        </w:tc>
        <w:tc>
          <w:tcPr>
            <w:tcW w:w="5928" w:type="dxa"/>
            <w:tcBorders>
              <w:top w:val="single" w:sz="4" w:space="0" w:color="auto"/>
              <w:left w:val="single" w:sz="4" w:space="0" w:color="auto"/>
              <w:bottom w:val="single" w:sz="4" w:space="0" w:color="auto"/>
              <w:right w:val="single" w:sz="4" w:space="0" w:color="auto"/>
            </w:tcBorders>
            <w:vAlign w:val="bottom"/>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Указывается код валюты по Общероссийскому </w:t>
            </w:r>
            <w:hyperlink r:id="rId23" w:history="1">
              <w:r>
                <w:rPr>
                  <w:rFonts w:ascii="Times New Roman" w:hAnsi="Times New Roman" w:cs="Times New Roman"/>
                  <w:color w:val="0000FF"/>
                  <w:sz w:val="24"/>
                  <w:szCs w:val="24"/>
                </w:rPr>
                <w:t>классификатору</w:t>
              </w:r>
            </w:hyperlink>
            <w:r>
              <w:rPr>
                <w:rFonts w:ascii="Times New Roman" w:hAnsi="Times New Roman" w:cs="Times New Roman"/>
                <w:sz w:val="24"/>
                <w:szCs w:val="24"/>
              </w:rPr>
              <w:t xml:space="preserve"> валют</w:t>
            </w:r>
          </w:p>
        </w:tc>
      </w:tr>
      <w:tr w:rsidR="00131447">
        <w:tc>
          <w:tcPr>
            <w:tcW w:w="3125" w:type="dxa"/>
            <w:tcBorders>
              <w:top w:val="single" w:sz="4" w:space="0" w:color="auto"/>
              <w:left w:val="single" w:sz="4" w:space="0" w:color="auto"/>
              <w:bottom w:val="single" w:sz="4" w:space="0" w:color="auto"/>
              <w:right w:val="single" w:sz="4" w:space="0" w:color="auto"/>
            </w:tcBorders>
            <w:vAlign w:val="center"/>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9. Руководитель клиента (уполномоченное лицо)</w:t>
            </w:r>
          </w:p>
        </w:tc>
        <w:tc>
          <w:tcPr>
            <w:tcW w:w="5928" w:type="dxa"/>
            <w:tcBorders>
              <w:top w:val="single" w:sz="4" w:space="0" w:color="auto"/>
              <w:left w:val="single" w:sz="4" w:space="0" w:color="auto"/>
              <w:bottom w:val="single" w:sz="4" w:space="0" w:color="auto"/>
              <w:right w:val="single" w:sz="4" w:space="0" w:color="auto"/>
            </w:tcBorders>
            <w:vAlign w:val="bottom"/>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Указываются фамилия, имя, отчество (полностью) руководителя (уполномоченного лица)</w:t>
            </w:r>
          </w:p>
        </w:tc>
      </w:tr>
      <w:tr w:rsidR="00131447">
        <w:tc>
          <w:tcPr>
            <w:tcW w:w="3125" w:type="dxa"/>
            <w:tcBorders>
              <w:top w:val="single" w:sz="4" w:space="0" w:color="auto"/>
              <w:left w:val="single" w:sz="4" w:space="0" w:color="auto"/>
              <w:bottom w:val="single" w:sz="4" w:space="0" w:color="auto"/>
              <w:right w:val="single" w:sz="4" w:space="0" w:color="auto"/>
            </w:tcBorders>
            <w:vAlign w:val="bottom"/>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 Главный бухгалтер клиента (уполномоченное лицо)</w:t>
            </w:r>
          </w:p>
        </w:tc>
        <w:tc>
          <w:tcPr>
            <w:tcW w:w="5928"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Указываются фамилия, имя, отчество (полностью) главного бухгалтера (уполномоченного лица)</w:t>
            </w:r>
          </w:p>
        </w:tc>
      </w:tr>
    </w:tbl>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N 2</w:t>
      </w:r>
    </w:p>
    <w:p w:rsidR="00131447" w:rsidRDefault="00131447" w:rsidP="001314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Порядку открытия казначейских счетов</w:t>
      </w: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066"/>
        <w:gridCol w:w="1245"/>
        <w:gridCol w:w="1701"/>
      </w:tblGrid>
      <w:tr w:rsidR="00131447">
        <w:tc>
          <w:tcPr>
            <w:tcW w:w="6066" w:type="dxa"/>
            <w:tcBorders>
              <w:right w:val="single" w:sz="4" w:space="0" w:color="auto"/>
            </w:tcBorders>
          </w:tcPr>
          <w:p w:rsidR="00131447" w:rsidRDefault="00131447">
            <w:pPr>
              <w:autoSpaceDE w:val="0"/>
              <w:autoSpaceDN w:val="0"/>
              <w:adjustRightInd w:val="0"/>
              <w:spacing w:after="0" w:line="240" w:lineRule="auto"/>
              <w:jc w:val="right"/>
              <w:rPr>
                <w:rFonts w:ascii="Times New Roman" w:hAnsi="Times New Roman" w:cs="Times New Roman"/>
                <w:sz w:val="24"/>
                <w:szCs w:val="24"/>
              </w:rPr>
            </w:pPr>
            <w:bookmarkStart w:id="7" w:name="Par264"/>
            <w:bookmarkEnd w:id="7"/>
            <w:r>
              <w:rPr>
                <w:rFonts w:ascii="Times New Roman" w:hAnsi="Times New Roman" w:cs="Times New Roman"/>
                <w:sz w:val="24"/>
                <w:szCs w:val="24"/>
              </w:rPr>
              <w:t>КАРТОЧКА ОБРАЗЦОВ ПОДПИСЕЙ N</w:t>
            </w:r>
          </w:p>
        </w:tc>
        <w:tc>
          <w:tcPr>
            <w:tcW w:w="1245"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r>
      <w:tr w:rsidR="00131447">
        <w:tc>
          <w:tcPr>
            <w:tcW w:w="9012" w:type="dxa"/>
            <w:gridSpan w:val="3"/>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 КАЗНАЧЕЙСКИМ СЧЕТАМ N __________________________</w:t>
            </w:r>
          </w:p>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w:t>
            </w:r>
          </w:p>
        </w:tc>
      </w:tr>
    </w:tbl>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65"/>
        <w:gridCol w:w="3015"/>
        <w:gridCol w:w="1531"/>
        <w:gridCol w:w="1304"/>
      </w:tblGrid>
      <w:tr w:rsidR="00131447">
        <w:tc>
          <w:tcPr>
            <w:tcW w:w="7711" w:type="dxa"/>
            <w:gridSpan w:val="3"/>
            <w:tcBorders>
              <w:right w:val="single" w:sz="4" w:space="0" w:color="auto"/>
            </w:tcBorders>
            <w:vAlign w:val="bottom"/>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304" w:type="dxa"/>
            <w:tcBorders>
              <w:top w:val="single" w:sz="4" w:space="0" w:color="auto"/>
              <w:left w:val="single" w:sz="4" w:space="0" w:color="auto"/>
              <w:bottom w:val="single" w:sz="4" w:space="0" w:color="auto"/>
              <w:right w:val="single" w:sz="4" w:space="0" w:color="auto"/>
            </w:tcBorders>
            <w:vAlign w:val="bottom"/>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Коды</w:t>
            </w:r>
          </w:p>
        </w:tc>
      </w:tr>
      <w:tr w:rsidR="00131447">
        <w:tc>
          <w:tcPr>
            <w:tcW w:w="6180" w:type="dxa"/>
            <w:gridSpan w:val="2"/>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531" w:type="dxa"/>
            <w:tcBorders>
              <w:right w:val="single" w:sz="4" w:space="0" w:color="auto"/>
            </w:tcBorders>
            <w:vAlign w:val="bottom"/>
          </w:tcPr>
          <w:p w:rsidR="00131447" w:rsidRDefault="001314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Форма по КФД</w:t>
            </w:r>
          </w:p>
        </w:tc>
        <w:tc>
          <w:tcPr>
            <w:tcW w:w="130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r>
      <w:tr w:rsidR="00131447">
        <w:tc>
          <w:tcPr>
            <w:tcW w:w="6180" w:type="dxa"/>
            <w:gridSpan w:val="2"/>
            <w:vAlign w:val="bottom"/>
          </w:tcPr>
          <w:p w:rsidR="00131447" w:rsidRDefault="00131447">
            <w:pPr>
              <w:autoSpaceDE w:val="0"/>
              <w:autoSpaceDN w:val="0"/>
              <w:adjustRightInd w:val="0"/>
              <w:spacing w:after="0" w:line="240" w:lineRule="auto"/>
              <w:jc w:val="center"/>
              <w:rPr>
                <w:rFonts w:ascii="Times New Roman" w:hAnsi="Times New Roman" w:cs="Times New Roman"/>
                <w:sz w:val="24"/>
                <w:szCs w:val="24"/>
              </w:rPr>
            </w:pPr>
            <w:bookmarkStart w:id="8" w:name="Par275"/>
            <w:bookmarkEnd w:id="8"/>
            <w:r>
              <w:rPr>
                <w:rFonts w:ascii="Times New Roman" w:hAnsi="Times New Roman" w:cs="Times New Roman"/>
                <w:sz w:val="24"/>
                <w:szCs w:val="24"/>
              </w:rPr>
              <w:t>от "__" ___________ 20__ г.</w:t>
            </w:r>
          </w:p>
        </w:tc>
        <w:tc>
          <w:tcPr>
            <w:tcW w:w="1531" w:type="dxa"/>
            <w:tcBorders>
              <w:right w:val="single" w:sz="4" w:space="0" w:color="auto"/>
            </w:tcBorders>
            <w:vAlign w:val="bottom"/>
          </w:tcPr>
          <w:p w:rsidR="00131447" w:rsidRDefault="001314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Дата</w:t>
            </w:r>
          </w:p>
        </w:tc>
        <w:tc>
          <w:tcPr>
            <w:tcW w:w="130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r>
      <w:tr w:rsidR="00131447">
        <w:tc>
          <w:tcPr>
            <w:tcW w:w="3165" w:type="dxa"/>
            <w:vAlign w:val="bottom"/>
          </w:tcPr>
          <w:p w:rsidR="00131447" w:rsidRDefault="00131447">
            <w:pPr>
              <w:autoSpaceDE w:val="0"/>
              <w:autoSpaceDN w:val="0"/>
              <w:adjustRightInd w:val="0"/>
              <w:spacing w:after="0" w:line="240" w:lineRule="auto"/>
              <w:rPr>
                <w:rFonts w:ascii="Times New Roman" w:hAnsi="Times New Roman" w:cs="Times New Roman"/>
                <w:sz w:val="24"/>
                <w:szCs w:val="24"/>
              </w:rPr>
            </w:pPr>
            <w:bookmarkStart w:id="9" w:name="Par278"/>
            <w:bookmarkEnd w:id="9"/>
            <w:r>
              <w:rPr>
                <w:rFonts w:ascii="Times New Roman" w:hAnsi="Times New Roman" w:cs="Times New Roman"/>
                <w:sz w:val="24"/>
                <w:szCs w:val="24"/>
              </w:rPr>
              <w:t>Наименование клиента</w:t>
            </w:r>
          </w:p>
        </w:tc>
        <w:tc>
          <w:tcPr>
            <w:tcW w:w="3015" w:type="dxa"/>
            <w:tcBorders>
              <w:bottom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531" w:type="dxa"/>
            <w:tcBorders>
              <w:right w:val="single" w:sz="4" w:space="0" w:color="auto"/>
            </w:tcBorders>
            <w:vAlign w:val="bottom"/>
          </w:tcPr>
          <w:p w:rsidR="00131447" w:rsidRDefault="001314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по ОКПО</w:t>
            </w:r>
          </w:p>
        </w:tc>
        <w:tc>
          <w:tcPr>
            <w:tcW w:w="130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r>
      <w:tr w:rsidR="00131447">
        <w:tc>
          <w:tcPr>
            <w:tcW w:w="6180" w:type="dxa"/>
            <w:gridSpan w:val="2"/>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531" w:type="dxa"/>
            <w:tcBorders>
              <w:right w:val="single" w:sz="4" w:space="0" w:color="auto"/>
            </w:tcBorders>
          </w:tcPr>
          <w:p w:rsidR="00131447" w:rsidRDefault="001314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по Сводному реестру</w:t>
            </w:r>
          </w:p>
        </w:tc>
        <w:tc>
          <w:tcPr>
            <w:tcW w:w="130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r>
      <w:tr w:rsidR="00131447">
        <w:tc>
          <w:tcPr>
            <w:tcW w:w="6180" w:type="dxa"/>
            <w:gridSpan w:val="2"/>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531" w:type="dxa"/>
            <w:tcBorders>
              <w:right w:val="single" w:sz="4" w:space="0" w:color="auto"/>
            </w:tcBorders>
            <w:vAlign w:val="bottom"/>
          </w:tcPr>
          <w:p w:rsidR="00131447" w:rsidRDefault="001314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ИНН</w:t>
            </w:r>
          </w:p>
        </w:tc>
        <w:tc>
          <w:tcPr>
            <w:tcW w:w="130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r>
      <w:tr w:rsidR="00131447">
        <w:tc>
          <w:tcPr>
            <w:tcW w:w="6180" w:type="dxa"/>
            <w:gridSpan w:val="2"/>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531" w:type="dxa"/>
            <w:tcBorders>
              <w:right w:val="single" w:sz="4" w:space="0" w:color="auto"/>
            </w:tcBorders>
          </w:tcPr>
          <w:p w:rsidR="00131447" w:rsidRDefault="001314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КПП</w:t>
            </w:r>
          </w:p>
        </w:tc>
        <w:tc>
          <w:tcPr>
            <w:tcW w:w="130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r>
    </w:tbl>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131447">
        <w:tc>
          <w:tcPr>
            <w:tcW w:w="9014" w:type="dxa"/>
            <w:vAlign w:val="bottom"/>
          </w:tcPr>
          <w:p w:rsidR="00131447" w:rsidRDefault="00131447">
            <w:pPr>
              <w:autoSpaceDE w:val="0"/>
              <w:autoSpaceDN w:val="0"/>
              <w:adjustRightInd w:val="0"/>
              <w:spacing w:after="0" w:line="240" w:lineRule="auto"/>
              <w:jc w:val="center"/>
              <w:outlineLvl w:val="2"/>
              <w:rPr>
                <w:rFonts w:ascii="Times New Roman" w:hAnsi="Times New Roman" w:cs="Times New Roman"/>
                <w:sz w:val="24"/>
                <w:szCs w:val="24"/>
              </w:rPr>
            </w:pPr>
            <w:bookmarkStart w:id="10" w:name="Par292"/>
            <w:bookmarkEnd w:id="10"/>
            <w:r>
              <w:rPr>
                <w:rFonts w:ascii="Times New Roman" w:hAnsi="Times New Roman" w:cs="Times New Roman"/>
                <w:sz w:val="24"/>
                <w:szCs w:val="24"/>
              </w:rPr>
              <w:t>Образцы подписей должностных лиц клиента, имеющих право подписи распоряжений и иных документов при совершении операций по казначейскому счету</w:t>
            </w:r>
          </w:p>
        </w:tc>
      </w:tr>
    </w:tbl>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6"/>
        <w:gridCol w:w="1474"/>
        <w:gridCol w:w="1814"/>
        <w:gridCol w:w="1982"/>
        <w:gridCol w:w="2707"/>
      </w:tblGrid>
      <w:tr w:rsidR="00131447">
        <w:tc>
          <w:tcPr>
            <w:tcW w:w="1056" w:type="dxa"/>
            <w:tcBorders>
              <w:top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Право подписи</w:t>
            </w:r>
          </w:p>
        </w:tc>
        <w:tc>
          <w:tcPr>
            <w:tcW w:w="147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Должность</w:t>
            </w:r>
          </w:p>
        </w:tc>
        <w:tc>
          <w:tcPr>
            <w:tcW w:w="181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Фамилия, имя, отчество</w:t>
            </w:r>
          </w:p>
        </w:tc>
        <w:tc>
          <w:tcPr>
            <w:tcW w:w="1982"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Образец подписи</w:t>
            </w:r>
          </w:p>
        </w:tc>
        <w:tc>
          <w:tcPr>
            <w:tcW w:w="2707" w:type="dxa"/>
            <w:tcBorders>
              <w:top w:val="single" w:sz="4" w:space="0" w:color="auto"/>
              <w:left w:val="single" w:sz="4" w:space="0" w:color="auto"/>
              <w:bottom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Срок полномочий лиц, временно пользующихся правом подписи</w:t>
            </w:r>
          </w:p>
        </w:tc>
      </w:tr>
      <w:tr w:rsidR="00131447">
        <w:tc>
          <w:tcPr>
            <w:tcW w:w="1056" w:type="dxa"/>
            <w:tcBorders>
              <w:top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47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bookmarkStart w:id="11" w:name="Par300"/>
            <w:bookmarkEnd w:id="11"/>
            <w:r>
              <w:rPr>
                <w:rFonts w:ascii="Times New Roman" w:hAnsi="Times New Roman" w:cs="Times New Roman"/>
                <w:sz w:val="24"/>
                <w:szCs w:val="24"/>
              </w:rPr>
              <w:t>2</w:t>
            </w:r>
          </w:p>
        </w:tc>
        <w:tc>
          <w:tcPr>
            <w:tcW w:w="181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bookmarkStart w:id="12" w:name="Par301"/>
            <w:bookmarkEnd w:id="12"/>
            <w:r>
              <w:rPr>
                <w:rFonts w:ascii="Times New Roman" w:hAnsi="Times New Roman" w:cs="Times New Roman"/>
                <w:sz w:val="24"/>
                <w:szCs w:val="24"/>
              </w:rPr>
              <w:t>3</w:t>
            </w:r>
          </w:p>
        </w:tc>
        <w:tc>
          <w:tcPr>
            <w:tcW w:w="1982"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bookmarkStart w:id="13" w:name="Par302"/>
            <w:bookmarkEnd w:id="13"/>
            <w:r>
              <w:rPr>
                <w:rFonts w:ascii="Times New Roman" w:hAnsi="Times New Roman" w:cs="Times New Roman"/>
                <w:sz w:val="24"/>
                <w:szCs w:val="24"/>
              </w:rPr>
              <w:t>4</w:t>
            </w:r>
          </w:p>
        </w:tc>
        <w:tc>
          <w:tcPr>
            <w:tcW w:w="2707" w:type="dxa"/>
            <w:tcBorders>
              <w:top w:val="single" w:sz="4" w:space="0" w:color="auto"/>
              <w:left w:val="single" w:sz="4" w:space="0" w:color="auto"/>
              <w:bottom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bookmarkStart w:id="14" w:name="Par303"/>
            <w:bookmarkEnd w:id="14"/>
            <w:r>
              <w:rPr>
                <w:rFonts w:ascii="Times New Roman" w:hAnsi="Times New Roman" w:cs="Times New Roman"/>
                <w:sz w:val="24"/>
                <w:szCs w:val="24"/>
              </w:rPr>
              <w:t>5</w:t>
            </w:r>
          </w:p>
        </w:tc>
      </w:tr>
      <w:tr w:rsidR="00131447">
        <w:tc>
          <w:tcPr>
            <w:tcW w:w="1056" w:type="dxa"/>
            <w:vMerge w:val="restart"/>
            <w:tcBorders>
              <w:top w:val="single" w:sz="4" w:space="0" w:color="auto"/>
              <w:bottom w:val="single" w:sz="4" w:space="0" w:color="auto"/>
              <w:right w:val="single" w:sz="4" w:space="0" w:color="auto"/>
            </w:tcBorders>
            <w:vAlign w:val="center"/>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первой</w:t>
            </w:r>
          </w:p>
        </w:tc>
        <w:tc>
          <w:tcPr>
            <w:tcW w:w="147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81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982"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2707" w:type="dxa"/>
            <w:tcBorders>
              <w:top w:val="single" w:sz="4" w:space="0" w:color="auto"/>
              <w:left w:val="single" w:sz="4" w:space="0" w:color="auto"/>
              <w:bottom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r>
      <w:tr w:rsidR="00131447">
        <w:tc>
          <w:tcPr>
            <w:tcW w:w="1056" w:type="dxa"/>
            <w:vMerge/>
            <w:tcBorders>
              <w:top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both"/>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81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982"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2707" w:type="dxa"/>
            <w:tcBorders>
              <w:top w:val="single" w:sz="4" w:space="0" w:color="auto"/>
              <w:left w:val="single" w:sz="4" w:space="0" w:color="auto"/>
              <w:bottom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r>
      <w:tr w:rsidR="00131447">
        <w:tc>
          <w:tcPr>
            <w:tcW w:w="1056" w:type="dxa"/>
            <w:vMerge/>
            <w:tcBorders>
              <w:top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both"/>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81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982"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2707" w:type="dxa"/>
            <w:tcBorders>
              <w:top w:val="single" w:sz="4" w:space="0" w:color="auto"/>
              <w:left w:val="single" w:sz="4" w:space="0" w:color="auto"/>
              <w:bottom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r>
      <w:tr w:rsidR="00131447">
        <w:tc>
          <w:tcPr>
            <w:tcW w:w="1056" w:type="dxa"/>
            <w:vMerge w:val="restart"/>
            <w:tcBorders>
              <w:top w:val="single" w:sz="4" w:space="0" w:color="auto"/>
              <w:bottom w:val="single" w:sz="4" w:space="0" w:color="auto"/>
              <w:right w:val="single" w:sz="4" w:space="0" w:color="auto"/>
            </w:tcBorders>
            <w:vAlign w:val="center"/>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второй</w:t>
            </w:r>
          </w:p>
        </w:tc>
        <w:tc>
          <w:tcPr>
            <w:tcW w:w="147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81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982"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2707" w:type="dxa"/>
            <w:tcBorders>
              <w:top w:val="single" w:sz="4" w:space="0" w:color="auto"/>
              <w:left w:val="single" w:sz="4" w:space="0" w:color="auto"/>
              <w:bottom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r>
      <w:tr w:rsidR="00131447">
        <w:tc>
          <w:tcPr>
            <w:tcW w:w="1056" w:type="dxa"/>
            <w:vMerge/>
            <w:tcBorders>
              <w:top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both"/>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81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982"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2707" w:type="dxa"/>
            <w:tcBorders>
              <w:top w:val="single" w:sz="4" w:space="0" w:color="auto"/>
              <w:left w:val="single" w:sz="4" w:space="0" w:color="auto"/>
              <w:bottom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r>
      <w:tr w:rsidR="00131447">
        <w:tc>
          <w:tcPr>
            <w:tcW w:w="1056" w:type="dxa"/>
            <w:vMerge/>
            <w:tcBorders>
              <w:top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both"/>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814"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982"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2707" w:type="dxa"/>
            <w:tcBorders>
              <w:top w:val="single" w:sz="4" w:space="0" w:color="auto"/>
              <w:left w:val="single" w:sz="4" w:space="0" w:color="auto"/>
              <w:bottom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r>
    </w:tbl>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30"/>
        <w:gridCol w:w="340"/>
        <w:gridCol w:w="1474"/>
        <w:gridCol w:w="340"/>
        <w:gridCol w:w="1229"/>
        <w:gridCol w:w="340"/>
        <w:gridCol w:w="2154"/>
      </w:tblGrid>
      <w:tr w:rsidR="00131447">
        <w:tc>
          <w:tcPr>
            <w:tcW w:w="3130" w:type="dxa"/>
            <w:vAlign w:val="bottom"/>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Руководитель клиента</w:t>
            </w:r>
          </w:p>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(уполномоченное лицо)</w:t>
            </w:r>
          </w:p>
        </w:tc>
        <w:tc>
          <w:tcPr>
            <w:tcW w:w="340" w:type="dxa"/>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474" w:type="dxa"/>
            <w:tcBorders>
              <w:bottom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340" w:type="dxa"/>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229" w:type="dxa"/>
            <w:tcBorders>
              <w:bottom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340" w:type="dxa"/>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2154" w:type="dxa"/>
            <w:tcBorders>
              <w:bottom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r>
      <w:tr w:rsidR="00131447">
        <w:tc>
          <w:tcPr>
            <w:tcW w:w="3130" w:type="dxa"/>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340" w:type="dxa"/>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474" w:type="dxa"/>
            <w:tcBorders>
              <w:top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(должность)</w:t>
            </w:r>
          </w:p>
        </w:tc>
        <w:tc>
          <w:tcPr>
            <w:tcW w:w="340" w:type="dxa"/>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229" w:type="dxa"/>
            <w:tcBorders>
              <w:top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w:t>
            </w:r>
          </w:p>
        </w:tc>
        <w:tc>
          <w:tcPr>
            <w:tcW w:w="340" w:type="dxa"/>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2154" w:type="dxa"/>
            <w:tcBorders>
              <w:top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(расшифровка подписи)</w:t>
            </w:r>
          </w:p>
        </w:tc>
      </w:tr>
      <w:tr w:rsidR="00131447">
        <w:tc>
          <w:tcPr>
            <w:tcW w:w="3130" w:type="dxa"/>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340" w:type="dxa"/>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474" w:type="dxa"/>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340" w:type="dxa"/>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229" w:type="dxa"/>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340" w:type="dxa"/>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2154" w:type="dxa"/>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М.П.</w:t>
            </w:r>
          </w:p>
        </w:tc>
      </w:tr>
      <w:tr w:rsidR="00131447">
        <w:tc>
          <w:tcPr>
            <w:tcW w:w="3130" w:type="dxa"/>
            <w:vAlign w:val="bottom"/>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Главный бухгалтер клиента</w:t>
            </w:r>
          </w:p>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(уполномоченное лицо)</w:t>
            </w:r>
          </w:p>
        </w:tc>
        <w:tc>
          <w:tcPr>
            <w:tcW w:w="340" w:type="dxa"/>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474" w:type="dxa"/>
            <w:tcBorders>
              <w:bottom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340" w:type="dxa"/>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229" w:type="dxa"/>
            <w:tcBorders>
              <w:bottom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340" w:type="dxa"/>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2154" w:type="dxa"/>
            <w:tcBorders>
              <w:bottom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p>
        </w:tc>
      </w:tr>
      <w:tr w:rsidR="00131447">
        <w:tc>
          <w:tcPr>
            <w:tcW w:w="3130" w:type="dxa"/>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340" w:type="dxa"/>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474" w:type="dxa"/>
            <w:tcBorders>
              <w:top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(должность)</w:t>
            </w:r>
          </w:p>
        </w:tc>
        <w:tc>
          <w:tcPr>
            <w:tcW w:w="340" w:type="dxa"/>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1229" w:type="dxa"/>
            <w:tcBorders>
              <w:top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w:t>
            </w:r>
          </w:p>
        </w:tc>
        <w:tc>
          <w:tcPr>
            <w:tcW w:w="340" w:type="dxa"/>
          </w:tcPr>
          <w:p w:rsidR="00131447" w:rsidRDefault="00131447">
            <w:pPr>
              <w:autoSpaceDE w:val="0"/>
              <w:autoSpaceDN w:val="0"/>
              <w:adjustRightInd w:val="0"/>
              <w:spacing w:after="0" w:line="240" w:lineRule="auto"/>
              <w:rPr>
                <w:rFonts w:ascii="Times New Roman" w:hAnsi="Times New Roman" w:cs="Times New Roman"/>
                <w:sz w:val="24"/>
                <w:szCs w:val="24"/>
              </w:rPr>
            </w:pPr>
          </w:p>
        </w:tc>
        <w:tc>
          <w:tcPr>
            <w:tcW w:w="2154" w:type="dxa"/>
            <w:tcBorders>
              <w:top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(расшифровка подписи)</w:t>
            </w:r>
          </w:p>
        </w:tc>
      </w:tr>
    </w:tbl>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06"/>
      </w:tblGrid>
      <w:tr w:rsidR="00131447">
        <w:tc>
          <w:tcPr>
            <w:tcW w:w="4306" w:type="dxa"/>
            <w:vAlign w:val="center"/>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 ___________________ 20__ г.</w:t>
            </w:r>
          </w:p>
        </w:tc>
      </w:tr>
    </w:tbl>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N 3</w:t>
      </w:r>
    </w:p>
    <w:p w:rsidR="00131447" w:rsidRDefault="00131447" w:rsidP="001314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Порядку открытия казначейских счетов</w:t>
      </w: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center"/>
        <w:rPr>
          <w:rFonts w:ascii="Times New Roman" w:hAnsi="Times New Roman" w:cs="Times New Roman"/>
          <w:b/>
          <w:bCs/>
          <w:sz w:val="24"/>
          <w:szCs w:val="24"/>
        </w:rPr>
      </w:pPr>
      <w:bookmarkStart w:id="15" w:name="Par378"/>
      <w:bookmarkEnd w:id="15"/>
      <w:r>
        <w:rPr>
          <w:rFonts w:ascii="Times New Roman" w:hAnsi="Times New Roman" w:cs="Times New Roman"/>
          <w:b/>
          <w:bCs/>
          <w:sz w:val="24"/>
          <w:szCs w:val="24"/>
        </w:rPr>
        <w:t>РЕКВИЗИТЫ КНИГИ РЕГИСТРАЦИИ КАЗНАЧЕЙСКИХ СЧЕТОВ</w:t>
      </w: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326"/>
        <w:gridCol w:w="5669"/>
      </w:tblGrid>
      <w:tr w:rsidR="00131447">
        <w:tc>
          <w:tcPr>
            <w:tcW w:w="3326" w:type="dxa"/>
            <w:tcBorders>
              <w:top w:val="single" w:sz="4" w:space="0" w:color="auto"/>
              <w:left w:val="single" w:sz="4" w:space="0" w:color="auto"/>
              <w:bottom w:val="single" w:sz="4" w:space="0" w:color="auto"/>
              <w:right w:val="single" w:sz="4" w:space="0" w:color="auto"/>
            </w:tcBorders>
            <w:vAlign w:val="bottom"/>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реквизита</w:t>
            </w:r>
          </w:p>
        </w:tc>
        <w:tc>
          <w:tcPr>
            <w:tcW w:w="5669" w:type="dxa"/>
            <w:tcBorders>
              <w:top w:val="single" w:sz="4" w:space="0" w:color="auto"/>
              <w:left w:val="single" w:sz="4" w:space="0" w:color="auto"/>
              <w:bottom w:val="single" w:sz="4" w:space="0" w:color="auto"/>
              <w:right w:val="single" w:sz="4" w:space="0" w:color="auto"/>
            </w:tcBorders>
            <w:vAlign w:val="bottom"/>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Правила формирования, заполнения реквизита</w:t>
            </w:r>
          </w:p>
        </w:tc>
      </w:tr>
      <w:tr w:rsidR="00131447">
        <w:tc>
          <w:tcPr>
            <w:tcW w:w="332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Наименование клиента</w:t>
            </w:r>
          </w:p>
        </w:tc>
        <w:tc>
          <w:tcPr>
            <w:tcW w:w="566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Указывается полное наименование (с учетом символа "N", кавычек, скобок, знаков препинания)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в соответствии с полным наименованием, указанным в его реестровой записи Сводного реестра</w:t>
            </w:r>
          </w:p>
        </w:tc>
      </w:tr>
      <w:tr w:rsidR="00131447">
        <w:tc>
          <w:tcPr>
            <w:tcW w:w="332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Код по Сводному реестру</w:t>
            </w:r>
          </w:p>
        </w:tc>
        <w:tc>
          <w:tcPr>
            <w:tcW w:w="566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Указывается код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по Сводному реестру</w:t>
            </w:r>
          </w:p>
        </w:tc>
      </w:tr>
      <w:tr w:rsidR="00131447">
        <w:tc>
          <w:tcPr>
            <w:tcW w:w="332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Код валюты</w:t>
            </w:r>
          </w:p>
        </w:tc>
        <w:tc>
          <w:tcPr>
            <w:tcW w:w="566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Указывается код валюты по Общероссийскому </w:t>
            </w:r>
            <w:hyperlink r:id="rId24" w:history="1">
              <w:r>
                <w:rPr>
                  <w:rFonts w:ascii="Times New Roman" w:hAnsi="Times New Roman" w:cs="Times New Roman"/>
                  <w:color w:val="0000FF"/>
                  <w:sz w:val="24"/>
                  <w:szCs w:val="24"/>
                </w:rPr>
                <w:t>классификатору</w:t>
              </w:r>
            </w:hyperlink>
            <w:r>
              <w:rPr>
                <w:rFonts w:ascii="Times New Roman" w:hAnsi="Times New Roman" w:cs="Times New Roman"/>
                <w:sz w:val="24"/>
                <w:szCs w:val="24"/>
              </w:rPr>
              <w:t xml:space="preserve"> валют</w:t>
            </w:r>
          </w:p>
        </w:tc>
      </w:tr>
      <w:tr w:rsidR="00131447">
        <w:tc>
          <w:tcPr>
            <w:tcW w:w="332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Номер казначейского счета</w:t>
            </w:r>
          </w:p>
        </w:tc>
        <w:tc>
          <w:tcPr>
            <w:tcW w:w="566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Указывается номер казначейского счета</w:t>
            </w:r>
          </w:p>
        </w:tc>
      </w:tr>
      <w:tr w:rsidR="00131447">
        <w:tc>
          <w:tcPr>
            <w:tcW w:w="332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Дата открытия казначейского счета</w:t>
            </w:r>
          </w:p>
        </w:tc>
        <w:tc>
          <w:tcPr>
            <w:tcW w:w="566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Указывается дата открытия казначейского счета в формате "день, месяц, год" (00.00.0000)</w:t>
            </w:r>
          </w:p>
        </w:tc>
      </w:tr>
      <w:tr w:rsidR="00131447">
        <w:tc>
          <w:tcPr>
            <w:tcW w:w="332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Дата изменения реквизитов казначейского счета</w:t>
            </w:r>
          </w:p>
        </w:tc>
        <w:tc>
          <w:tcPr>
            <w:tcW w:w="566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Указывается дата изменения реквизитов казначейского счета в формате "день, месяц, год" (00.00.0000)</w:t>
            </w:r>
          </w:p>
        </w:tc>
      </w:tr>
      <w:tr w:rsidR="00131447">
        <w:tc>
          <w:tcPr>
            <w:tcW w:w="332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 Дата закрытия казначейского счета</w:t>
            </w:r>
          </w:p>
        </w:tc>
        <w:tc>
          <w:tcPr>
            <w:tcW w:w="566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Указывается дата закрытия казначейского счета в формате "день, месяц, год" (00.00.0000)</w:t>
            </w:r>
          </w:p>
        </w:tc>
      </w:tr>
      <w:tr w:rsidR="00131447">
        <w:tc>
          <w:tcPr>
            <w:tcW w:w="332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 Примечание</w:t>
            </w:r>
          </w:p>
        </w:tc>
        <w:tc>
          <w:tcPr>
            <w:tcW w:w="566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Указываются причины изменения реквизитов (закрытия) казначейского счета и иная необходимая информация </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изменении реквизитов (закрытия) казначейского счета</w:t>
            </w:r>
          </w:p>
        </w:tc>
      </w:tr>
    </w:tbl>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N 4</w:t>
      </w:r>
    </w:p>
    <w:p w:rsidR="00131447" w:rsidRDefault="00131447" w:rsidP="001314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к Порядку открытия казначейских счетов</w:t>
      </w: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center"/>
        <w:rPr>
          <w:rFonts w:ascii="Times New Roman" w:hAnsi="Times New Roman" w:cs="Times New Roman"/>
          <w:b/>
          <w:bCs/>
          <w:sz w:val="24"/>
          <w:szCs w:val="24"/>
        </w:rPr>
      </w:pPr>
      <w:bookmarkStart w:id="16" w:name="Par406"/>
      <w:bookmarkEnd w:id="16"/>
      <w:r>
        <w:rPr>
          <w:rFonts w:ascii="Times New Roman" w:hAnsi="Times New Roman" w:cs="Times New Roman"/>
          <w:b/>
          <w:bCs/>
          <w:sz w:val="24"/>
          <w:szCs w:val="24"/>
        </w:rPr>
        <w:t>РЕКВИЗИТЫ ЗАЯВЛЕНИЯ НА ЗАКРЫТИЕ КАЗНАЧЕЙСКОГО СЧЕТА</w:t>
      </w: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326"/>
        <w:gridCol w:w="5669"/>
      </w:tblGrid>
      <w:tr w:rsidR="00131447">
        <w:tc>
          <w:tcPr>
            <w:tcW w:w="332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реквизита</w:t>
            </w:r>
          </w:p>
        </w:tc>
        <w:tc>
          <w:tcPr>
            <w:tcW w:w="566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Правила формирования, заполнения реквизита</w:t>
            </w:r>
          </w:p>
        </w:tc>
      </w:tr>
      <w:tr w:rsidR="00131447">
        <w:tc>
          <w:tcPr>
            <w:tcW w:w="332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Наименование клиента</w:t>
            </w:r>
          </w:p>
        </w:tc>
        <w:tc>
          <w:tcPr>
            <w:tcW w:w="566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Указывается полное наименование (с учетом символа "N", кавычек, скобок, знаков препинания)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в соответствии с полным наименованием, указанным в его реестровой записи Сводного реестра</w:t>
            </w:r>
          </w:p>
        </w:tc>
      </w:tr>
      <w:tr w:rsidR="00131447">
        <w:tc>
          <w:tcPr>
            <w:tcW w:w="332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ИНН</w:t>
            </w:r>
          </w:p>
        </w:tc>
        <w:tc>
          <w:tcPr>
            <w:tcW w:w="566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Указывается идентификационный номер налогоплательщика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131447">
        <w:tc>
          <w:tcPr>
            <w:tcW w:w="332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КПП</w:t>
            </w:r>
          </w:p>
        </w:tc>
        <w:tc>
          <w:tcPr>
            <w:tcW w:w="566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Указывается код причины постановки на учет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131447">
        <w:tc>
          <w:tcPr>
            <w:tcW w:w="332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Код по Сводному реестру</w:t>
            </w:r>
          </w:p>
        </w:tc>
        <w:tc>
          <w:tcPr>
            <w:tcW w:w="566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Указывается код по Сводному реестру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131447">
        <w:tc>
          <w:tcPr>
            <w:tcW w:w="332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Код по ОКПО</w:t>
            </w:r>
          </w:p>
        </w:tc>
        <w:tc>
          <w:tcPr>
            <w:tcW w:w="566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Указывается код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 по Общероссийскому классификатору предприятий и организаций</w:t>
            </w:r>
          </w:p>
        </w:tc>
      </w:tr>
      <w:tr w:rsidR="00131447">
        <w:tc>
          <w:tcPr>
            <w:tcW w:w="332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Код </w:t>
            </w:r>
            <w:hyperlink r:id="rId25" w:history="1">
              <w:r>
                <w:rPr>
                  <w:rFonts w:ascii="Times New Roman" w:hAnsi="Times New Roman" w:cs="Times New Roman"/>
                  <w:color w:val="0000FF"/>
                  <w:sz w:val="24"/>
                  <w:szCs w:val="24"/>
                </w:rPr>
                <w:t>ОКТМО</w:t>
              </w:r>
            </w:hyperlink>
          </w:p>
        </w:tc>
        <w:tc>
          <w:tcPr>
            <w:tcW w:w="566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Указывается код по Общероссийскому </w:t>
            </w:r>
            <w:hyperlink r:id="rId26" w:history="1">
              <w:r>
                <w:rPr>
                  <w:rFonts w:ascii="Times New Roman" w:hAnsi="Times New Roman" w:cs="Times New Roman"/>
                  <w:color w:val="0000FF"/>
                  <w:sz w:val="24"/>
                  <w:szCs w:val="24"/>
                </w:rPr>
                <w:t>классификатору</w:t>
              </w:r>
            </w:hyperlink>
            <w:r>
              <w:rPr>
                <w:rFonts w:ascii="Times New Roman" w:hAnsi="Times New Roman" w:cs="Times New Roman"/>
                <w:sz w:val="24"/>
                <w:szCs w:val="24"/>
              </w:rPr>
              <w:t xml:space="preserve">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131447">
        <w:tc>
          <w:tcPr>
            <w:tcW w:w="332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7. Наименование </w:t>
            </w:r>
            <w:r>
              <w:rPr>
                <w:rFonts w:ascii="Times New Roman" w:hAnsi="Times New Roman" w:cs="Times New Roman"/>
                <w:sz w:val="24"/>
                <w:szCs w:val="24"/>
              </w:rPr>
              <w:lastRenderedPageBreak/>
              <w:t>закрываемого казначейского счета</w:t>
            </w:r>
          </w:p>
        </w:tc>
        <w:tc>
          <w:tcPr>
            <w:tcW w:w="566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Указывается наименование соответствующего вида </w:t>
            </w:r>
            <w:r>
              <w:rPr>
                <w:rFonts w:ascii="Times New Roman" w:hAnsi="Times New Roman" w:cs="Times New Roman"/>
                <w:sz w:val="24"/>
                <w:szCs w:val="24"/>
              </w:rPr>
              <w:lastRenderedPageBreak/>
              <w:t xml:space="preserve">казначейского счета (видов казначейских счетов) в соответствии с видами казначейских счетов, предусмотренными </w:t>
            </w:r>
            <w:hyperlink w:anchor="Par33" w:history="1">
              <w:r>
                <w:rPr>
                  <w:rFonts w:ascii="Times New Roman" w:hAnsi="Times New Roman" w:cs="Times New Roman"/>
                  <w:color w:val="0000FF"/>
                  <w:sz w:val="24"/>
                  <w:szCs w:val="24"/>
                </w:rPr>
                <w:t>пунктом 2</w:t>
              </w:r>
            </w:hyperlink>
            <w:r>
              <w:rPr>
                <w:rFonts w:ascii="Times New Roman" w:hAnsi="Times New Roman" w:cs="Times New Roman"/>
                <w:sz w:val="24"/>
                <w:szCs w:val="24"/>
              </w:rPr>
              <w:t xml:space="preserve"> настоящего Порядка</w:t>
            </w:r>
          </w:p>
        </w:tc>
      </w:tr>
      <w:tr w:rsidR="00131447">
        <w:tc>
          <w:tcPr>
            <w:tcW w:w="332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8. Номер закрываемого казначейского счета</w:t>
            </w:r>
          </w:p>
        </w:tc>
        <w:tc>
          <w:tcPr>
            <w:tcW w:w="566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Указывается номер закрываемого казначейского счета</w:t>
            </w:r>
          </w:p>
        </w:tc>
      </w:tr>
      <w:tr w:rsidR="00131447">
        <w:tc>
          <w:tcPr>
            <w:tcW w:w="332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9. Код валюты</w:t>
            </w:r>
          </w:p>
        </w:tc>
        <w:tc>
          <w:tcPr>
            <w:tcW w:w="566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Код валюты по Общероссийскому </w:t>
            </w:r>
            <w:hyperlink r:id="rId27" w:history="1">
              <w:r>
                <w:rPr>
                  <w:rFonts w:ascii="Times New Roman" w:hAnsi="Times New Roman" w:cs="Times New Roman"/>
                  <w:color w:val="0000FF"/>
                  <w:sz w:val="24"/>
                  <w:szCs w:val="24"/>
                </w:rPr>
                <w:t>классификатору</w:t>
              </w:r>
            </w:hyperlink>
            <w:r>
              <w:rPr>
                <w:rFonts w:ascii="Times New Roman" w:hAnsi="Times New Roman" w:cs="Times New Roman"/>
                <w:sz w:val="24"/>
                <w:szCs w:val="24"/>
              </w:rPr>
              <w:t xml:space="preserve"> валют</w:t>
            </w:r>
          </w:p>
        </w:tc>
      </w:tr>
      <w:tr w:rsidR="00131447">
        <w:tc>
          <w:tcPr>
            <w:tcW w:w="332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 Причина закрытия казначейского счета</w:t>
            </w:r>
          </w:p>
        </w:tc>
        <w:tc>
          <w:tcPr>
            <w:tcW w:w="566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Указывается причина закрытия казначейского счета</w:t>
            </w:r>
          </w:p>
        </w:tc>
      </w:tr>
      <w:tr w:rsidR="00131447">
        <w:tc>
          <w:tcPr>
            <w:tcW w:w="332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11. Реквизиты для перечисления средств, поступивших после закрытия казначейского счета</w:t>
            </w:r>
          </w:p>
        </w:tc>
        <w:tc>
          <w:tcPr>
            <w:tcW w:w="566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Указываются номер счета и его реквизиты для перечисления средств, поступивших после закрытия казначейского счета</w:t>
            </w:r>
          </w:p>
        </w:tc>
      </w:tr>
      <w:tr w:rsidR="00131447">
        <w:tc>
          <w:tcPr>
            <w:tcW w:w="332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12. Руководитель клиента (уполномоченное лицо)</w:t>
            </w:r>
          </w:p>
        </w:tc>
        <w:tc>
          <w:tcPr>
            <w:tcW w:w="566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Указываются фамилия, имя, отчество (полностью) руководителя (уполномоченного лица)</w:t>
            </w:r>
          </w:p>
        </w:tc>
      </w:tr>
      <w:tr w:rsidR="00131447">
        <w:tc>
          <w:tcPr>
            <w:tcW w:w="3326"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13. Главный бухгалтер клиента (уполномоченное лицо)</w:t>
            </w:r>
          </w:p>
        </w:tc>
        <w:tc>
          <w:tcPr>
            <w:tcW w:w="5669" w:type="dxa"/>
            <w:tcBorders>
              <w:top w:val="single" w:sz="4" w:space="0" w:color="auto"/>
              <w:left w:val="single" w:sz="4" w:space="0" w:color="auto"/>
              <w:bottom w:val="single" w:sz="4" w:space="0" w:color="auto"/>
              <w:right w:val="single" w:sz="4" w:space="0" w:color="auto"/>
            </w:tcBorders>
          </w:tcPr>
          <w:p w:rsidR="00131447" w:rsidRDefault="001314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Указываются фамилия, имя, отчество (полностью) главного бухгалтера (уполномоченного лица)</w:t>
            </w:r>
          </w:p>
        </w:tc>
      </w:tr>
    </w:tbl>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autoSpaceDE w:val="0"/>
        <w:autoSpaceDN w:val="0"/>
        <w:adjustRightInd w:val="0"/>
        <w:spacing w:after="0" w:line="240" w:lineRule="auto"/>
        <w:jc w:val="both"/>
        <w:rPr>
          <w:rFonts w:ascii="Times New Roman" w:hAnsi="Times New Roman" w:cs="Times New Roman"/>
          <w:sz w:val="24"/>
          <w:szCs w:val="24"/>
        </w:rPr>
      </w:pPr>
    </w:p>
    <w:p w:rsidR="00131447" w:rsidRDefault="00131447" w:rsidP="00131447">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73474F" w:rsidRDefault="0073474F">
      <w:bookmarkStart w:id="17" w:name="_GoBack"/>
      <w:bookmarkEnd w:id="17"/>
    </w:p>
    <w:sectPr w:rsidR="0073474F" w:rsidSect="00A161B3">
      <w:pgSz w:w="11905" w:h="16838"/>
      <w:pgMar w:top="1134" w:right="567" w:bottom="1134" w:left="1134"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447"/>
    <w:rsid w:val="00131447"/>
    <w:rsid w:val="007347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1957643E8487C242368AFC03168EBA8293EDB031208E4676324B779CD6B189599445FF072874675FF2C73F575d976H" TargetMode="External"/><Relationship Id="rId13" Type="http://schemas.openxmlformats.org/officeDocument/2006/relationships/hyperlink" Target="consultantplus://offline/ref=61957643E8487C242368AFC03168EBA82B3FD50B140DE4676324B779CD6B189599445FF072874675FF2C73F575d976H" TargetMode="External"/><Relationship Id="rId18" Type="http://schemas.openxmlformats.org/officeDocument/2006/relationships/hyperlink" Target="consultantplus://offline/ref=61957643E8487C242368AFC03168EBA82939D404170FE4676324B779CD6B189599445FF072874675FF2C73F575d976H" TargetMode="External"/><Relationship Id="rId26" Type="http://schemas.openxmlformats.org/officeDocument/2006/relationships/hyperlink" Target="consultantplus://offline/ref=61957643E8487C242368AFC03168EBA82B3FD50B140DE4676324B779CD6B189599445FF072874675FF2C73F575d976H" TargetMode="External"/><Relationship Id="rId3" Type="http://schemas.openxmlformats.org/officeDocument/2006/relationships/settings" Target="settings.xml"/><Relationship Id="rId21" Type="http://schemas.openxmlformats.org/officeDocument/2006/relationships/hyperlink" Target="consultantplus://offline/ref=61957643E8487C242368AFC03168EBA82B3FD50B140DE4676324B779CD6B189599445FF072874675FF2C73F575d976H" TargetMode="External"/><Relationship Id="rId7" Type="http://schemas.openxmlformats.org/officeDocument/2006/relationships/hyperlink" Target="consultantplus://offline/ref=61957643E8487C242368AFC03168EBA8293ED90B120BE4676324B779CD6B18958B4407FB73895A7EA36335A07A96EDDD95032906FB81d37AH" TargetMode="External"/><Relationship Id="rId12" Type="http://schemas.openxmlformats.org/officeDocument/2006/relationships/hyperlink" Target="consultantplus://offline/ref=61957643E8487C242368AFC03168EBA82B3FD50B140DE4676324B779CD6B189599445FF072874675FF2C73F575d976H" TargetMode="External"/><Relationship Id="rId17" Type="http://schemas.openxmlformats.org/officeDocument/2006/relationships/hyperlink" Target="consultantplus://offline/ref=61957643E8487C242368AFC03168EBA82B3FD50B140DE4676324B779CD6B189599445FF072874675FF2C73F575d976H" TargetMode="External"/><Relationship Id="rId25" Type="http://schemas.openxmlformats.org/officeDocument/2006/relationships/hyperlink" Target="consultantplus://offline/ref=61957643E8487C242368AFC03168EBA82B3FD50B140DE4676324B779CD6B189599445FF072874675FF2C73F575d976H" TargetMode="External"/><Relationship Id="rId2" Type="http://schemas.microsoft.com/office/2007/relationships/stylesWithEffects" Target="stylesWithEffects.xml"/><Relationship Id="rId16" Type="http://schemas.openxmlformats.org/officeDocument/2006/relationships/hyperlink" Target="consultantplus://offline/ref=61957643E8487C242368AFC03168EBA82B3FD50B140DE4676324B779CD6B189599445FF072874675FF2C73F575d976H" TargetMode="External"/><Relationship Id="rId20" Type="http://schemas.openxmlformats.org/officeDocument/2006/relationships/hyperlink" Target="consultantplus://offline/ref=61957643E8487C242368AFC03168EBA8293ADA02130AE4676324B779CD6B18958B4407FC72805F71F23925A433C3E6C39315370CE5813A03dC7CH"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61957643E8487C242368AFC03168EBA8293ED90B120BE4676324B779CD6B18958B4407FB73895A7EA36335A07A96EDDD95032906FB81d37AH" TargetMode="External"/><Relationship Id="rId11" Type="http://schemas.openxmlformats.org/officeDocument/2006/relationships/hyperlink" Target="consultantplus://offline/ref=61957643E8487C242368AFC03168EBA82B3FD50B140DE4676324B779CD6B189599445FF072874675FF2C73F575d976H" TargetMode="External"/><Relationship Id="rId24" Type="http://schemas.openxmlformats.org/officeDocument/2006/relationships/hyperlink" Target="consultantplus://offline/ref=61957643E8487C242368AFC03168EBA8293FD403170CE4676324B779CD6B189599445FF072874675FF2C73F575d976H"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61957643E8487C242368AFC03168EBA82B3FD50B140DE4676324B779CD6B189599445FF072874675FF2C73F575d976H" TargetMode="External"/><Relationship Id="rId23" Type="http://schemas.openxmlformats.org/officeDocument/2006/relationships/hyperlink" Target="consultantplus://offline/ref=61957643E8487C242368AFC03168EBA8293FD403170CE4676324B779CD6B189599445FF072874675FF2C73F575d976H" TargetMode="External"/><Relationship Id="rId28" Type="http://schemas.openxmlformats.org/officeDocument/2006/relationships/fontTable" Target="fontTable.xml"/><Relationship Id="rId10" Type="http://schemas.openxmlformats.org/officeDocument/2006/relationships/hyperlink" Target="consultantplus://offline/ref=61957643E8487C242368AFC03168EBA8293FD403170CE4676324B779CD6B189599445FF072874675FF2C73F575d976H" TargetMode="External"/><Relationship Id="rId19" Type="http://schemas.openxmlformats.org/officeDocument/2006/relationships/hyperlink" Target="consultantplus://offline/ref=61957643E8487C242368AFC03168EBA8293ADA02130AE4676324B779CD6B18958B4407FC72805F71F23925A433C3E6C39315370CE5813A03dC7CH" TargetMode="External"/><Relationship Id="rId4" Type="http://schemas.openxmlformats.org/officeDocument/2006/relationships/webSettings" Target="webSettings.xml"/><Relationship Id="rId9" Type="http://schemas.openxmlformats.org/officeDocument/2006/relationships/hyperlink" Target="consultantplus://offline/ref=61957643E8487C242368AFC03168EBA8293EDB031208E4676324B779CD6B189599445FF072874675FF2C73F575d976H" TargetMode="External"/><Relationship Id="rId14" Type="http://schemas.openxmlformats.org/officeDocument/2006/relationships/hyperlink" Target="consultantplus://offline/ref=61957643E8487C242368AFC03168EBA82B3FD50B140DE4676324B779CD6B189599445FF072874675FF2C73F575d976H" TargetMode="External"/><Relationship Id="rId22" Type="http://schemas.openxmlformats.org/officeDocument/2006/relationships/hyperlink" Target="consultantplus://offline/ref=61957643E8487C242368AFC03168EBA82B3FD50B140DE4676324B779CD6B189599445FF072874675FF2C73F575d976H" TargetMode="External"/><Relationship Id="rId27" Type="http://schemas.openxmlformats.org/officeDocument/2006/relationships/hyperlink" Target="consultantplus://offline/ref=61957643E8487C242368AFC03168EBA8293FD403170CE4676324B779CD6B189599445FF072874675FF2C73F575d976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6445</Words>
  <Characters>36738</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Шахманаев Юнус Шахманаевич</dc:creator>
  <cp:lastModifiedBy>Шахманаев Юнус Шахманаевич</cp:lastModifiedBy>
  <cp:revision>1</cp:revision>
  <dcterms:created xsi:type="dcterms:W3CDTF">2020-08-06T07:59:00Z</dcterms:created>
  <dcterms:modified xsi:type="dcterms:W3CDTF">2020-08-06T08:00:00Z</dcterms:modified>
</cp:coreProperties>
</file>